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57D" w:rsidRPr="00046EA5" w:rsidRDefault="009E157D" w:rsidP="006B765D">
      <w:pPr>
        <w:spacing w:after="0" w:line="384" w:lineRule="auto"/>
        <w:rPr>
          <w:rFonts w:ascii="Century Gothic" w:hAnsi="Century Gothic"/>
          <w:color w:val="000000" w:themeColor="text1"/>
          <w:sz w:val="24"/>
          <w:szCs w:val="24"/>
        </w:rPr>
      </w:pPr>
      <w:r w:rsidRPr="00046EA5">
        <w:rPr>
          <w:rFonts w:ascii="Century Gothic" w:hAnsi="Century Gothic"/>
          <w:color w:val="000000" w:themeColor="text1"/>
          <w:sz w:val="24"/>
          <w:szCs w:val="24"/>
        </w:rPr>
        <w:t xml:space="preserve">Bogotá D.C, </w:t>
      </w:r>
      <w:r w:rsidR="00A40890">
        <w:rPr>
          <w:rFonts w:ascii="Century Gothic" w:hAnsi="Century Gothic"/>
          <w:color w:val="000000" w:themeColor="text1"/>
          <w:sz w:val="24"/>
          <w:szCs w:val="24"/>
        </w:rPr>
        <w:t>marzo de 2019</w:t>
      </w:r>
    </w:p>
    <w:p w:rsidR="009E157D" w:rsidRPr="00046EA5" w:rsidRDefault="009E157D" w:rsidP="006B765D">
      <w:pPr>
        <w:spacing w:line="384" w:lineRule="auto"/>
        <w:rPr>
          <w:rFonts w:ascii="Century Gothic" w:hAnsi="Century Gothic"/>
          <w:color w:val="000000" w:themeColor="text1"/>
          <w:sz w:val="24"/>
          <w:szCs w:val="24"/>
        </w:rPr>
      </w:pPr>
    </w:p>
    <w:p w:rsidR="009E157D" w:rsidRPr="00046EA5" w:rsidRDefault="009E157D" w:rsidP="006B765D">
      <w:pPr>
        <w:spacing w:after="0"/>
        <w:rPr>
          <w:rFonts w:ascii="Century Gothic" w:hAnsi="Century Gothic"/>
          <w:b/>
          <w:color w:val="000000" w:themeColor="text1"/>
          <w:sz w:val="24"/>
          <w:szCs w:val="24"/>
        </w:rPr>
      </w:pPr>
      <w:r w:rsidRPr="00046EA5">
        <w:rPr>
          <w:rFonts w:ascii="Century Gothic" w:hAnsi="Century Gothic"/>
          <w:b/>
          <w:color w:val="000000" w:themeColor="text1"/>
          <w:sz w:val="24"/>
          <w:szCs w:val="24"/>
        </w:rPr>
        <w:t>Doctor</w:t>
      </w:r>
    </w:p>
    <w:p w:rsidR="009E157D" w:rsidRPr="00046EA5" w:rsidRDefault="009E157D" w:rsidP="006B765D">
      <w:pPr>
        <w:spacing w:after="0"/>
        <w:rPr>
          <w:rFonts w:ascii="Century Gothic" w:hAnsi="Century Gothic"/>
          <w:b/>
          <w:color w:val="000000" w:themeColor="text1"/>
          <w:sz w:val="24"/>
          <w:szCs w:val="24"/>
        </w:rPr>
      </w:pPr>
      <w:r w:rsidRPr="00046EA5">
        <w:rPr>
          <w:rFonts w:ascii="Century Gothic" w:hAnsi="Century Gothic"/>
          <w:b/>
          <w:color w:val="000000" w:themeColor="text1"/>
          <w:sz w:val="24"/>
          <w:szCs w:val="24"/>
        </w:rPr>
        <w:t>GREGORIO ELJACH PACHECO</w:t>
      </w:r>
    </w:p>
    <w:p w:rsidR="009E157D" w:rsidRPr="00046EA5" w:rsidRDefault="009E157D" w:rsidP="006B765D">
      <w:pPr>
        <w:spacing w:after="0"/>
        <w:rPr>
          <w:rFonts w:ascii="Century Gothic" w:hAnsi="Century Gothic"/>
          <w:b/>
          <w:color w:val="000000" w:themeColor="text1"/>
          <w:sz w:val="24"/>
          <w:szCs w:val="24"/>
        </w:rPr>
      </w:pPr>
      <w:r w:rsidRPr="00046EA5">
        <w:rPr>
          <w:rFonts w:ascii="Century Gothic" w:hAnsi="Century Gothic"/>
          <w:b/>
          <w:color w:val="000000" w:themeColor="text1"/>
          <w:sz w:val="24"/>
          <w:szCs w:val="24"/>
        </w:rPr>
        <w:t>Secretario General</w:t>
      </w:r>
    </w:p>
    <w:p w:rsidR="009E157D" w:rsidRPr="00046EA5" w:rsidRDefault="009E157D" w:rsidP="006B765D">
      <w:pPr>
        <w:spacing w:after="0"/>
        <w:rPr>
          <w:rFonts w:ascii="Century Gothic" w:hAnsi="Century Gothic"/>
          <w:color w:val="000000" w:themeColor="text1"/>
          <w:sz w:val="24"/>
          <w:szCs w:val="24"/>
        </w:rPr>
      </w:pPr>
      <w:r w:rsidRPr="00046EA5">
        <w:rPr>
          <w:rFonts w:ascii="Century Gothic" w:hAnsi="Century Gothic"/>
          <w:color w:val="000000" w:themeColor="text1"/>
          <w:sz w:val="24"/>
          <w:szCs w:val="24"/>
        </w:rPr>
        <w:t>Senado de la República</w:t>
      </w:r>
    </w:p>
    <w:p w:rsidR="009E157D" w:rsidRPr="00046EA5" w:rsidRDefault="009E157D" w:rsidP="006B765D">
      <w:pPr>
        <w:spacing w:after="0"/>
        <w:rPr>
          <w:rFonts w:ascii="Century Gothic" w:hAnsi="Century Gothic"/>
          <w:color w:val="000000" w:themeColor="text1"/>
          <w:sz w:val="24"/>
          <w:szCs w:val="24"/>
        </w:rPr>
      </w:pPr>
      <w:r w:rsidRPr="00046EA5">
        <w:rPr>
          <w:rFonts w:ascii="Century Gothic" w:hAnsi="Century Gothic"/>
          <w:color w:val="000000" w:themeColor="text1"/>
          <w:sz w:val="24"/>
          <w:szCs w:val="24"/>
        </w:rPr>
        <w:t>Cuidad</w:t>
      </w:r>
    </w:p>
    <w:p w:rsidR="009E157D" w:rsidRPr="00046EA5" w:rsidRDefault="009E157D" w:rsidP="006B765D">
      <w:pPr>
        <w:spacing w:line="384" w:lineRule="auto"/>
        <w:rPr>
          <w:rFonts w:ascii="Century Gothic" w:hAnsi="Century Gothic"/>
          <w:color w:val="000000" w:themeColor="text1"/>
          <w:sz w:val="24"/>
          <w:szCs w:val="24"/>
        </w:rPr>
      </w:pPr>
    </w:p>
    <w:p w:rsidR="009E157D" w:rsidRPr="00046EA5" w:rsidRDefault="009E157D" w:rsidP="006B765D">
      <w:pPr>
        <w:spacing w:line="384" w:lineRule="auto"/>
        <w:jc w:val="right"/>
        <w:rPr>
          <w:rFonts w:ascii="Century Gothic" w:hAnsi="Century Gothic"/>
          <w:b/>
          <w:i/>
          <w:color w:val="000000" w:themeColor="text1"/>
          <w:sz w:val="24"/>
          <w:szCs w:val="24"/>
        </w:rPr>
      </w:pPr>
      <w:r w:rsidRPr="00046EA5">
        <w:rPr>
          <w:rFonts w:ascii="Century Gothic" w:hAnsi="Century Gothic"/>
          <w:b/>
          <w:i/>
          <w:color w:val="000000" w:themeColor="text1"/>
          <w:sz w:val="24"/>
          <w:szCs w:val="24"/>
        </w:rPr>
        <w:t>Referencia: Radicación Proyecto de Ley</w:t>
      </w:r>
    </w:p>
    <w:p w:rsidR="009E157D" w:rsidRPr="00046EA5" w:rsidRDefault="009E157D" w:rsidP="006B765D">
      <w:pPr>
        <w:spacing w:line="384" w:lineRule="auto"/>
        <w:rPr>
          <w:rFonts w:ascii="Century Gothic" w:hAnsi="Century Gothic"/>
          <w:color w:val="000000" w:themeColor="text1"/>
          <w:sz w:val="24"/>
          <w:szCs w:val="24"/>
        </w:rPr>
      </w:pPr>
      <w:r w:rsidRPr="00046EA5">
        <w:rPr>
          <w:rFonts w:ascii="Century Gothic" w:hAnsi="Century Gothic"/>
          <w:color w:val="000000" w:themeColor="text1"/>
          <w:sz w:val="24"/>
          <w:szCs w:val="24"/>
        </w:rPr>
        <w:t>Respetado doctor:</w:t>
      </w:r>
    </w:p>
    <w:p w:rsidR="009E157D" w:rsidRPr="00046EA5" w:rsidRDefault="009E157D" w:rsidP="006B765D">
      <w:pPr>
        <w:spacing w:line="384" w:lineRule="auto"/>
        <w:jc w:val="both"/>
        <w:rPr>
          <w:rFonts w:ascii="Century Gothic" w:hAnsi="Century Gothic"/>
          <w:i/>
          <w:color w:val="000000" w:themeColor="text1"/>
          <w:sz w:val="24"/>
          <w:szCs w:val="24"/>
        </w:rPr>
      </w:pPr>
      <w:r w:rsidRPr="00046EA5">
        <w:rPr>
          <w:rFonts w:ascii="Century Gothic" w:hAnsi="Century Gothic"/>
          <w:color w:val="000000" w:themeColor="text1"/>
          <w:sz w:val="24"/>
          <w:szCs w:val="24"/>
        </w:rPr>
        <w:t xml:space="preserve">Comedidamente me permito adjuntar tres copias del Proyecto de Ley </w:t>
      </w:r>
      <w:r w:rsidRPr="00046EA5">
        <w:rPr>
          <w:rFonts w:ascii="Century Gothic" w:hAnsi="Century Gothic" w:cs="Arial"/>
          <w:i/>
          <w:color w:val="000000" w:themeColor="text1"/>
          <w:sz w:val="24"/>
          <w:szCs w:val="24"/>
        </w:rPr>
        <w:t>“Por medio de la cual se modifica el artículo 30 del Decreto 1213 de 1990 y se procede a aumentar la prima de actividad para los</w:t>
      </w:r>
      <w:r w:rsidR="00A40890">
        <w:rPr>
          <w:rFonts w:ascii="Century Gothic" w:hAnsi="Century Gothic" w:cs="Arial"/>
          <w:i/>
          <w:color w:val="000000" w:themeColor="text1"/>
          <w:sz w:val="24"/>
          <w:szCs w:val="24"/>
        </w:rPr>
        <w:t xml:space="preserve"> Agentes de la Policía Nacional”</w:t>
      </w:r>
    </w:p>
    <w:p w:rsidR="009E157D" w:rsidRPr="00046EA5" w:rsidRDefault="009E157D" w:rsidP="006B765D">
      <w:pPr>
        <w:spacing w:line="384" w:lineRule="auto"/>
        <w:rPr>
          <w:rFonts w:ascii="Century Gothic" w:hAnsi="Century Gothic"/>
          <w:color w:val="000000" w:themeColor="text1"/>
          <w:sz w:val="24"/>
          <w:szCs w:val="24"/>
        </w:rPr>
      </w:pPr>
      <w:r w:rsidRPr="00046EA5">
        <w:rPr>
          <w:rFonts w:ascii="Century Gothic" w:hAnsi="Century Gothic"/>
          <w:color w:val="000000" w:themeColor="text1"/>
          <w:sz w:val="24"/>
          <w:szCs w:val="24"/>
        </w:rPr>
        <w:t>Cordialmente,</w:t>
      </w:r>
    </w:p>
    <w:p w:rsidR="009E157D" w:rsidRPr="00046EA5" w:rsidRDefault="009E157D" w:rsidP="006B765D">
      <w:pPr>
        <w:spacing w:after="0" w:line="384" w:lineRule="auto"/>
        <w:rPr>
          <w:rFonts w:ascii="Century Gothic" w:hAnsi="Century Gothic"/>
          <w:b/>
          <w:color w:val="000000" w:themeColor="text1"/>
          <w:sz w:val="24"/>
          <w:szCs w:val="24"/>
        </w:rPr>
      </w:pPr>
    </w:p>
    <w:p w:rsidR="009E157D" w:rsidRPr="00046EA5" w:rsidRDefault="009E157D" w:rsidP="006B765D">
      <w:pPr>
        <w:spacing w:after="0" w:line="384" w:lineRule="auto"/>
        <w:rPr>
          <w:rFonts w:ascii="Century Gothic" w:hAnsi="Century Gothic"/>
          <w:b/>
          <w:color w:val="000000" w:themeColor="text1"/>
          <w:sz w:val="24"/>
          <w:szCs w:val="24"/>
        </w:rPr>
      </w:pPr>
    </w:p>
    <w:p w:rsidR="009E157D" w:rsidRPr="00046EA5" w:rsidRDefault="009E157D" w:rsidP="006B765D">
      <w:pPr>
        <w:spacing w:after="0" w:line="384" w:lineRule="auto"/>
        <w:rPr>
          <w:rFonts w:ascii="Century Gothic" w:hAnsi="Century Gothic"/>
          <w:b/>
          <w:color w:val="000000" w:themeColor="text1"/>
          <w:sz w:val="24"/>
          <w:szCs w:val="24"/>
        </w:rPr>
        <w:sectPr w:rsidR="009E157D" w:rsidRPr="00046EA5" w:rsidSect="004956F5">
          <w:headerReference w:type="default" r:id="rId9"/>
          <w:footerReference w:type="default" r:id="rId10"/>
          <w:pgSz w:w="12240" w:h="15840" w:code="1"/>
          <w:pgMar w:top="1417" w:right="1701" w:bottom="1134" w:left="1701" w:header="709" w:footer="709" w:gutter="0"/>
          <w:cols w:space="708"/>
          <w:docGrid w:linePitch="360"/>
        </w:sectPr>
      </w:pPr>
    </w:p>
    <w:p w:rsidR="009E157D" w:rsidRPr="00046EA5" w:rsidRDefault="009E157D" w:rsidP="006B765D">
      <w:pPr>
        <w:spacing w:after="0" w:line="384" w:lineRule="auto"/>
        <w:rPr>
          <w:rFonts w:ascii="Century Gothic" w:hAnsi="Century Gothic"/>
          <w:b/>
          <w:color w:val="000000" w:themeColor="text1"/>
          <w:sz w:val="24"/>
          <w:szCs w:val="24"/>
        </w:rPr>
      </w:pPr>
      <w:r w:rsidRPr="00046EA5">
        <w:rPr>
          <w:rFonts w:ascii="Century Gothic" w:hAnsi="Century Gothic"/>
          <w:b/>
          <w:color w:val="000000" w:themeColor="text1"/>
          <w:sz w:val="24"/>
          <w:szCs w:val="24"/>
        </w:rPr>
        <w:lastRenderedPageBreak/>
        <w:t>ERNESTO MACÍAS TOVAR</w:t>
      </w:r>
    </w:p>
    <w:p w:rsidR="009E157D" w:rsidRPr="00046EA5" w:rsidRDefault="009E157D" w:rsidP="006B765D">
      <w:pPr>
        <w:spacing w:after="0" w:line="384" w:lineRule="auto"/>
        <w:rPr>
          <w:rFonts w:ascii="Century Gothic" w:hAnsi="Century Gothic"/>
          <w:b/>
          <w:color w:val="000000" w:themeColor="text1"/>
          <w:sz w:val="24"/>
          <w:szCs w:val="24"/>
        </w:rPr>
      </w:pPr>
      <w:r w:rsidRPr="00046EA5">
        <w:rPr>
          <w:rFonts w:ascii="Century Gothic" w:hAnsi="Century Gothic"/>
          <w:b/>
          <w:color w:val="000000" w:themeColor="text1"/>
          <w:sz w:val="24"/>
          <w:szCs w:val="24"/>
        </w:rPr>
        <w:t>Senador de la República</w:t>
      </w:r>
    </w:p>
    <w:p w:rsidR="009E157D" w:rsidRPr="00046EA5" w:rsidRDefault="009E157D" w:rsidP="006B765D">
      <w:pPr>
        <w:spacing w:after="0" w:line="384" w:lineRule="auto"/>
        <w:rPr>
          <w:rFonts w:ascii="Century Gothic" w:hAnsi="Century Gothic"/>
          <w:b/>
          <w:color w:val="000000" w:themeColor="text1"/>
          <w:sz w:val="24"/>
          <w:szCs w:val="24"/>
        </w:rPr>
      </w:pPr>
    </w:p>
    <w:p w:rsidR="009E157D" w:rsidRPr="00046EA5" w:rsidRDefault="009E157D" w:rsidP="006B765D">
      <w:pPr>
        <w:shd w:val="clear" w:color="auto" w:fill="FFFFFF"/>
        <w:spacing w:line="384" w:lineRule="auto"/>
        <w:outlineLvl w:val="0"/>
        <w:rPr>
          <w:rFonts w:ascii="Century Gothic" w:hAnsi="Century Gothic"/>
          <w:b/>
          <w:color w:val="000000" w:themeColor="text1"/>
          <w:sz w:val="24"/>
          <w:szCs w:val="24"/>
        </w:rPr>
        <w:sectPr w:rsidR="009E157D" w:rsidRPr="00046EA5" w:rsidSect="004B6335">
          <w:type w:val="continuous"/>
          <w:pgSz w:w="12240" w:h="15840" w:code="1"/>
          <w:pgMar w:top="1417" w:right="1701" w:bottom="1134" w:left="1701" w:header="709" w:footer="709" w:gutter="0"/>
          <w:cols w:num="2" w:space="708"/>
          <w:docGrid w:linePitch="360"/>
        </w:sectPr>
      </w:pPr>
    </w:p>
    <w:p w:rsidR="009E157D" w:rsidRPr="00046EA5" w:rsidRDefault="009E157D" w:rsidP="006B765D">
      <w:pPr>
        <w:spacing w:line="384" w:lineRule="auto"/>
        <w:jc w:val="center"/>
        <w:rPr>
          <w:rFonts w:ascii="Century Gothic" w:hAnsi="Century Gothic"/>
          <w:b/>
          <w:color w:val="000000" w:themeColor="text1"/>
          <w:sz w:val="24"/>
          <w:szCs w:val="24"/>
        </w:rPr>
      </w:pPr>
      <w:r w:rsidRPr="00046EA5">
        <w:rPr>
          <w:rFonts w:ascii="Century Gothic" w:hAnsi="Century Gothic"/>
          <w:b/>
          <w:color w:val="000000" w:themeColor="text1"/>
          <w:sz w:val="24"/>
          <w:szCs w:val="24"/>
        </w:rPr>
        <w:lastRenderedPageBreak/>
        <w:t>Proyecto de Ley No. ____de 201</w:t>
      </w:r>
      <w:r w:rsidR="00A40890">
        <w:rPr>
          <w:rFonts w:ascii="Century Gothic" w:hAnsi="Century Gothic"/>
          <w:b/>
          <w:color w:val="000000" w:themeColor="text1"/>
          <w:sz w:val="24"/>
          <w:szCs w:val="24"/>
        </w:rPr>
        <w:t>9</w:t>
      </w:r>
    </w:p>
    <w:p w:rsidR="009E157D" w:rsidRPr="00046EA5" w:rsidRDefault="009E157D" w:rsidP="007A6C04">
      <w:pPr>
        <w:jc w:val="center"/>
        <w:rPr>
          <w:rFonts w:ascii="Century Gothic" w:hAnsi="Century Gothic"/>
          <w:i/>
          <w:color w:val="000000" w:themeColor="text1"/>
          <w:sz w:val="24"/>
          <w:szCs w:val="24"/>
        </w:rPr>
      </w:pPr>
      <w:r w:rsidRPr="00046EA5">
        <w:rPr>
          <w:rFonts w:ascii="Century Gothic" w:hAnsi="Century Gothic" w:cs="Arial"/>
          <w:i/>
          <w:color w:val="000000" w:themeColor="text1"/>
          <w:sz w:val="24"/>
          <w:szCs w:val="24"/>
        </w:rPr>
        <w:t>“Por medio de la cual se modifica el artículo 30 del Decreto 1213 de 1990 y se procede a aumentar la prima de actividad para los Agentes de la Policía Nacional</w:t>
      </w:r>
      <w:r w:rsidRPr="00046EA5">
        <w:rPr>
          <w:rFonts w:ascii="Century Gothic" w:hAnsi="Century Gothic"/>
          <w:i/>
          <w:color w:val="000000" w:themeColor="text1"/>
          <w:sz w:val="24"/>
          <w:szCs w:val="24"/>
        </w:rPr>
        <w:t>”</w:t>
      </w:r>
    </w:p>
    <w:p w:rsidR="00F41898" w:rsidRPr="00046EA5" w:rsidRDefault="00F41898" w:rsidP="006B765D">
      <w:pPr>
        <w:spacing w:line="384" w:lineRule="auto"/>
        <w:jc w:val="center"/>
        <w:rPr>
          <w:rFonts w:ascii="Century Gothic" w:hAnsi="Century Gothic"/>
          <w:b/>
          <w:color w:val="000000" w:themeColor="text1"/>
          <w:sz w:val="24"/>
          <w:szCs w:val="24"/>
        </w:rPr>
      </w:pPr>
    </w:p>
    <w:p w:rsidR="009E157D" w:rsidRPr="00046EA5" w:rsidRDefault="009E157D" w:rsidP="006B765D">
      <w:pPr>
        <w:spacing w:line="384" w:lineRule="auto"/>
        <w:jc w:val="center"/>
        <w:rPr>
          <w:rFonts w:ascii="Century Gothic" w:hAnsi="Century Gothic"/>
          <w:b/>
          <w:color w:val="000000" w:themeColor="text1"/>
          <w:sz w:val="24"/>
          <w:szCs w:val="24"/>
        </w:rPr>
      </w:pPr>
      <w:r w:rsidRPr="00046EA5">
        <w:rPr>
          <w:rFonts w:ascii="Century Gothic" w:hAnsi="Century Gothic"/>
          <w:b/>
          <w:color w:val="000000" w:themeColor="text1"/>
          <w:sz w:val="24"/>
          <w:szCs w:val="24"/>
        </w:rPr>
        <w:t>EXPOSICIÓN DE MOTIVOS</w:t>
      </w:r>
    </w:p>
    <w:p w:rsidR="009E157D" w:rsidRPr="00046EA5" w:rsidRDefault="009E157D" w:rsidP="006B765D">
      <w:pPr>
        <w:spacing w:after="0" w:line="384" w:lineRule="auto"/>
        <w:jc w:val="both"/>
        <w:rPr>
          <w:rFonts w:ascii="Century Gothic" w:hAnsi="Century Gothic" w:cs="Arial"/>
          <w:color w:val="000000" w:themeColor="text1"/>
          <w:spacing w:val="3"/>
          <w:sz w:val="24"/>
          <w:szCs w:val="24"/>
        </w:rPr>
      </w:pPr>
      <w:r w:rsidRPr="00046EA5">
        <w:rPr>
          <w:rFonts w:ascii="Century Gothic" w:hAnsi="Century Gothic" w:cs="Arial"/>
          <w:color w:val="000000" w:themeColor="text1"/>
          <w:spacing w:val="3"/>
          <w:sz w:val="24"/>
          <w:szCs w:val="24"/>
        </w:rPr>
        <w:t>Teniendo en cuenta que la prima de actividad</w:t>
      </w:r>
      <w:r w:rsidRPr="00046EA5">
        <w:rPr>
          <w:rFonts w:ascii="Century Gothic" w:hAnsi="Century Gothic" w:cs="Arial"/>
          <w:b/>
          <w:color w:val="000000" w:themeColor="text1"/>
          <w:spacing w:val="3"/>
          <w:sz w:val="24"/>
          <w:szCs w:val="24"/>
        </w:rPr>
        <w:t xml:space="preserve"> </w:t>
      </w:r>
      <w:r w:rsidRPr="00046EA5">
        <w:rPr>
          <w:rFonts w:ascii="Century Gothic" w:hAnsi="Century Gothic" w:cs="Arial"/>
          <w:color w:val="000000" w:themeColor="text1"/>
          <w:spacing w:val="3"/>
          <w:sz w:val="24"/>
          <w:szCs w:val="24"/>
        </w:rPr>
        <w:t xml:space="preserve">es considerada como factor de cómputo en las asignaciones de actividad de la Fuerza Pública, es preciso revisar sus antecedentes, como material de contextualización para dar desarrollo al objeto del presente proyecto de ley. </w:t>
      </w:r>
    </w:p>
    <w:p w:rsidR="009E157D" w:rsidRPr="00046EA5" w:rsidRDefault="009E157D" w:rsidP="006B765D">
      <w:pPr>
        <w:spacing w:after="0" w:line="384" w:lineRule="auto"/>
        <w:jc w:val="both"/>
        <w:rPr>
          <w:rFonts w:ascii="Century Gothic" w:hAnsi="Century Gothic" w:cs="Arial"/>
          <w:color w:val="000000" w:themeColor="text1"/>
          <w:spacing w:val="3"/>
          <w:sz w:val="24"/>
          <w:szCs w:val="24"/>
        </w:rPr>
      </w:pPr>
    </w:p>
    <w:p w:rsidR="006B765D" w:rsidRPr="00046EA5" w:rsidRDefault="009E157D" w:rsidP="006B765D">
      <w:pPr>
        <w:spacing w:after="0" w:line="384" w:lineRule="auto"/>
        <w:jc w:val="both"/>
        <w:rPr>
          <w:rFonts w:ascii="Century Gothic" w:hAnsi="Century Gothic" w:cs="Arial"/>
          <w:color w:val="000000" w:themeColor="text1"/>
          <w:spacing w:val="3"/>
          <w:sz w:val="24"/>
          <w:szCs w:val="24"/>
        </w:rPr>
      </w:pPr>
      <w:r w:rsidRPr="00046EA5">
        <w:rPr>
          <w:rFonts w:ascii="Century Gothic" w:hAnsi="Century Gothic" w:cs="Arial"/>
          <w:color w:val="000000" w:themeColor="text1"/>
          <w:spacing w:val="3"/>
          <w:sz w:val="24"/>
          <w:szCs w:val="24"/>
        </w:rPr>
        <w:t>Es así, que se viene a hacer referencia a la prima de actividad desde la expedición del Decreto Extraordinario 188 de 1968, artículo 4°; posteriormente,  a partir de lo dispuesto  en el artículo 52 del Decreto 2340 de 1971 se instituyó para efectos de asignación de retiro y demás prestaciones sociales una prima de actividad del 15% del sueldo básico correspondiente; continuando con del desarrollo, el Decreto 2063 de agosto de 1984 modificó el porcentaje en que debía ser reconocida</w:t>
      </w:r>
      <w:r w:rsidRPr="00046EA5">
        <w:rPr>
          <w:rStyle w:val="Refdenotaalpie"/>
          <w:rFonts w:ascii="Century Gothic" w:hAnsi="Century Gothic" w:cs="Arial"/>
          <w:color w:val="000000" w:themeColor="text1"/>
          <w:spacing w:val="3"/>
          <w:sz w:val="24"/>
          <w:szCs w:val="24"/>
        </w:rPr>
        <w:footnoteReference w:id="1"/>
      </w:r>
      <w:r w:rsidRPr="00046EA5">
        <w:rPr>
          <w:rFonts w:ascii="Century Gothic" w:hAnsi="Century Gothic" w:cs="Arial"/>
          <w:color w:val="000000" w:themeColor="text1"/>
          <w:spacing w:val="3"/>
          <w:sz w:val="24"/>
          <w:szCs w:val="24"/>
        </w:rPr>
        <w:t xml:space="preserve">, </w:t>
      </w:r>
      <w:r w:rsidRPr="00046EA5">
        <w:rPr>
          <w:rFonts w:ascii="Century Gothic" w:hAnsi="Century Gothic" w:cs="Arial"/>
          <w:color w:val="000000" w:themeColor="text1"/>
          <w:spacing w:val="3"/>
          <w:sz w:val="24"/>
          <w:szCs w:val="24"/>
        </w:rPr>
        <w:lastRenderedPageBreak/>
        <w:t xml:space="preserve">situación que se mantuvo hasta la derogatoria </w:t>
      </w:r>
      <w:bookmarkStart w:id="0" w:name="99"/>
      <w:bookmarkEnd w:id="0"/>
      <w:r w:rsidRPr="00046EA5">
        <w:rPr>
          <w:rFonts w:ascii="Century Gothic" w:hAnsi="Century Gothic" w:cs="Arial"/>
          <w:color w:val="000000" w:themeColor="text1"/>
          <w:spacing w:val="3"/>
          <w:sz w:val="24"/>
          <w:szCs w:val="24"/>
        </w:rPr>
        <w:t>de este último por el Decreto 97 de 1989</w:t>
      </w:r>
      <w:r w:rsidRPr="00046EA5">
        <w:rPr>
          <w:rStyle w:val="Refdenotaalpie"/>
          <w:rFonts w:ascii="Century Gothic" w:hAnsi="Century Gothic" w:cs="Arial"/>
          <w:color w:val="000000" w:themeColor="text1"/>
          <w:spacing w:val="3"/>
          <w:sz w:val="24"/>
          <w:szCs w:val="24"/>
        </w:rPr>
        <w:footnoteReference w:id="2"/>
      </w:r>
      <w:r w:rsidRPr="00046EA5">
        <w:rPr>
          <w:rFonts w:ascii="Century Gothic" w:hAnsi="Century Gothic" w:cs="Arial"/>
          <w:color w:val="000000" w:themeColor="text1"/>
          <w:spacing w:val="3"/>
          <w:sz w:val="24"/>
          <w:szCs w:val="24"/>
        </w:rPr>
        <w:t>.</w:t>
      </w:r>
    </w:p>
    <w:p w:rsidR="00046EA5" w:rsidRPr="00046EA5" w:rsidRDefault="00046EA5" w:rsidP="006B765D">
      <w:pPr>
        <w:spacing w:after="0" w:line="384" w:lineRule="auto"/>
        <w:jc w:val="both"/>
        <w:rPr>
          <w:rFonts w:ascii="Century Gothic" w:hAnsi="Century Gothic" w:cs="Arial"/>
          <w:color w:val="000000" w:themeColor="text1"/>
          <w:spacing w:val="3"/>
          <w:sz w:val="24"/>
          <w:szCs w:val="24"/>
        </w:rPr>
      </w:pPr>
    </w:p>
    <w:p w:rsidR="009E157D" w:rsidRPr="00046EA5" w:rsidRDefault="009E157D" w:rsidP="006B765D">
      <w:pPr>
        <w:spacing w:after="0" w:line="384" w:lineRule="auto"/>
        <w:jc w:val="both"/>
        <w:rPr>
          <w:rFonts w:ascii="Century Gothic" w:hAnsi="Century Gothic" w:cs="Arial"/>
          <w:color w:val="000000" w:themeColor="text1"/>
          <w:spacing w:val="3"/>
          <w:sz w:val="24"/>
          <w:szCs w:val="24"/>
        </w:rPr>
      </w:pPr>
      <w:r w:rsidRPr="00046EA5">
        <w:rPr>
          <w:rFonts w:ascii="Century Gothic" w:hAnsi="Century Gothic" w:cs="Arial"/>
          <w:color w:val="000000" w:themeColor="text1"/>
          <w:spacing w:val="3"/>
          <w:sz w:val="24"/>
          <w:szCs w:val="24"/>
        </w:rPr>
        <w:t xml:space="preserve">En este orden de ideas, es de saber que posterior a la expedición de los Decretos mencionados, se promulga el Decreto 1213 de 1990, vigente a la fecha en cuanto </w:t>
      </w:r>
      <w:r w:rsidR="009A020D" w:rsidRPr="00046EA5">
        <w:rPr>
          <w:rFonts w:ascii="Century Gothic" w:hAnsi="Century Gothic" w:cs="Arial"/>
          <w:color w:val="000000" w:themeColor="text1"/>
          <w:spacing w:val="3"/>
          <w:sz w:val="24"/>
          <w:szCs w:val="24"/>
        </w:rPr>
        <w:t>a los</w:t>
      </w:r>
      <w:r w:rsidRPr="00046EA5">
        <w:rPr>
          <w:rFonts w:ascii="Century Gothic" w:hAnsi="Century Gothic" w:cs="Arial"/>
          <w:color w:val="000000" w:themeColor="text1"/>
          <w:spacing w:val="3"/>
          <w:sz w:val="24"/>
          <w:szCs w:val="24"/>
        </w:rPr>
        <w:t xml:space="preserve"> Agente de la Policía se refiere. Decreto que si bien ha sido derogado en varios de sus preceptos y con innumerables modificaciones y adiciones, en cuanto a la prima de actividad se mantiene vigente, el cual establece una regulación de la prima de actividad</w:t>
      </w:r>
      <w:r w:rsidRPr="00046EA5">
        <w:rPr>
          <w:rFonts w:ascii="Century Gothic" w:hAnsi="Century Gothic" w:cs="Arial"/>
          <w:bCs/>
          <w:iCs/>
          <w:color w:val="000000" w:themeColor="text1"/>
          <w:spacing w:val="3"/>
          <w:sz w:val="24"/>
          <w:szCs w:val="24"/>
          <w:lang w:val="es-ES_tradnl"/>
        </w:rPr>
        <w:t xml:space="preserve"> como </w:t>
      </w:r>
      <w:r w:rsidRPr="00046EA5">
        <w:rPr>
          <w:rFonts w:ascii="Century Gothic" w:hAnsi="Century Gothic" w:cs="Arial"/>
          <w:bCs/>
          <w:i/>
          <w:iCs/>
          <w:color w:val="000000" w:themeColor="text1"/>
          <w:spacing w:val="3"/>
          <w:sz w:val="24"/>
          <w:szCs w:val="24"/>
          <w:lang w:val="es-ES_tradnl"/>
        </w:rPr>
        <w:t>elemento de salario</w:t>
      </w:r>
      <w:r w:rsidRPr="00046EA5">
        <w:rPr>
          <w:rFonts w:ascii="Century Gothic" w:hAnsi="Century Gothic" w:cs="Arial"/>
          <w:bCs/>
          <w:iCs/>
          <w:color w:val="000000" w:themeColor="text1"/>
          <w:spacing w:val="3"/>
          <w:sz w:val="24"/>
          <w:szCs w:val="24"/>
          <w:lang w:val="es-ES_tradnl"/>
        </w:rPr>
        <w:t xml:space="preserve">, para el personal activo (artículo 30), y como </w:t>
      </w:r>
      <w:r w:rsidRPr="00046EA5">
        <w:rPr>
          <w:rFonts w:ascii="Century Gothic" w:hAnsi="Century Gothic" w:cs="Arial"/>
          <w:bCs/>
          <w:i/>
          <w:iCs/>
          <w:color w:val="000000" w:themeColor="text1"/>
          <w:spacing w:val="3"/>
          <w:sz w:val="24"/>
          <w:szCs w:val="24"/>
          <w:lang w:val="es-ES_tradnl"/>
        </w:rPr>
        <w:t>factor salarial</w:t>
      </w:r>
      <w:r w:rsidRPr="00046EA5">
        <w:rPr>
          <w:rFonts w:ascii="Century Gothic" w:hAnsi="Century Gothic" w:cs="Arial"/>
          <w:bCs/>
          <w:iCs/>
          <w:color w:val="000000" w:themeColor="text1"/>
          <w:spacing w:val="3"/>
          <w:sz w:val="24"/>
          <w:szCs w:val="24"/>
          <w:lang w:val="es-ES_tradnl"/>
        </w:rPr>
        <w:t xml:space="preserve"> o partida de cómputo dentro de las asignaciones de retiro y pensiones, en ambos casos a partir de escalas porcentuales variables de acuerdo al tiempo de servicio (artículos 100 y 101), así</w:t>
      </w:r>
      <w:r w:rsidRPr="00046EA5">
        <w:rPr>
          <w:rStyle w:val="Refdenotaalpie"/>
          <w:rFonts w:ascii="Century Gothic" w:hAnsi="Century Gothic"/>
          <w:bCs/>
          <w:iCs/>
          <w:color w:val="000000" w:themeColor="text1"/>
          <w:spacing w:val="3"/>
          <w:sz w:val="24"/>
          <w:szCs w:val="24"/>
          <w:lang w:val="es-ES_tradnl"/>
        </w:rPr>
        <w:footnoteReference w:id="3"/>
      </w:r>
      <w:r w:rsidRPr="00046EA5">
        <w:rPr>
          <w:rFonts w:ascii="Century Gothic" w:hAnsi="Century Gothic" w:cs="Arial"/>
          <w:bCs/>
          <w:iCs/>
          <w:color w:val="000000" w:themeColor="text1"/>
          <w:spacing w:val="3"/>
          <w:sz w:val="24"/>
          <w:szCs w:val="24"/>
          <w:lang w:val="es-ES_tradnl"/>
        </w:rPr>
        <w:t>:</w:t>
      </w:r>
    </w:p>
    <w:p w:rsidR="009E157D" w:rsidRPr="00046EA5" w:rsidRDefault="009E157D" w:rsidP="006B765D">
      <w:pPr>
        <w:spacing w:after="0" w:line="384" w:lineRule="auto"/>
        <w:jc w:val="both"/>
        <w:rPr>
          <w:rFonts w:ascii="Century Gothic" w:hAnsi="Century Gothic" w:cs="Arial"/>
          <w:bCs/>
          <w:iCs/>
          <w:color w:val="000000" w:themeColor="text1"/>
          <w:spacing w:val="3"/>
          <w:sz w:val="24"/>
          <w:szCs w:val="24"/>
          <w:lang w:val="es-ES_tradnl"/>
        </w:rPr>
      </w:pPr>
    </w:p>
    <w:p w:rsidR="009E157D" w:rsidRPr="00046EA5" w:rsidRDefault="009E157D" w:rsidP="006B765D">
      <w:pPr>
        <w:spacing w:after="0" w:line="384" w:lineRule="auto"/>
        <w:ind w:left="284"/>
        <w:jc w:val="both"/>
        <w:rPr>
          <w:rFonts w:ascii="Century Gothic" w:hAnsi="Century Gothic" w:cs="Arial"/>
          <w:bCs/>
          <w:i/>
          <w:iCs/>
          <w:color w:val="000000" w:themeColor="text1"/>
          <w:spacing w:val="3"/>
          <w:sz w:val="24"/>
          <w:szCs w:val="24"/>
          <w:lang w:val="es-ES_tradnl"/>
        </w:rPr>
      </w:pPr>
      <w:r w:rsidRPr="00046EA5">
        <w:rPr>
          <w:rFonts w:ascii="Century Gothic" w:hAnsi="Century Gothic" w:cs="Arial"/>
          <w:bCs/>
          <w:i/>
          <w:iCs/>
          <w:color w:val="000000" w:themeColor="text1"/>
          <w:spacing w:val="3"/>
          <w:sz w:val="24"/>
          <w:szCs w:val="24"/>
          <w:lang w:val="es-ES_tradnl"/>
        </w:rPr>
        <w:t>“ARTÍCULO 30. PRIMA DE ACTIVIDAD. Los Agentes de la Policía Nacional en servicio activo, tendrán derecho a una prima mensual de actividad, que será equivalente al treinta por ciento (30%) del sueldo básico y se aumentará en un cinco por ciento (5%) por cada cinco (5) años de servicio cumplido.”</w:t>
      </w:r>
    </w:p>
    <w:p w:rsidR="009E157D" w:rsidRPr="00046EA5" w:rsidRDefault="009E157D" w:rsidP="006B765D">
      <w:pPr>
        <w:spacing w:after="0" w:line="384" w:lineRule="auto"/>
        <w:ind w:left="284"/>
        <w:jc w:val="both"/>
        <w:rPr>
          <w:rFonts w:ascii="Century Gothic" w:hAnsi="Century Gothic" w:cs="Arial"/>
          <w:bCs/>
          <w:i/>
          <w:iCs/>
          <w:color w:val="000000" w:themeColor="text1"/>
          <w:spacing w:val="3"/>
          <w:sz w:val="24"/>
          <w:szCs w:val="24"/>
          <w:lang w:val="es-ES_tradnl"/>
        </w:rPr>
      </w:pPr>
    </w:p>
    <w:p w:rsidR="009E157D" w:rsidRPr="00046EA5" w:rsidRDefault="009E157D" w:rsidP="006B765D">
      <w:pPr>
        <w:spacing w:after="0" w:line="384" w:lineRule="auto"/>
        <w:ind w:left="284"/>
        <w:jc w:val="both"/>
        <w:rPr>
          <w:rFonts w:ascii="Century Gothic" w:hAnsi="Century Gothic" w:cs="Arial"/>
          <w:bCs/>
          <w:i/>
          <w:iCs/>
          <w:color w:val="000000" w:themeColor="text1"/>
          <w:spacing w:val="-6"/>
          <w:sz w:val="24"/>
          <w:szCs w:val="24"/>
          <w:lang w:val="es-ES_tradnl"/>
        </w:rPr>
      </w:pPr>
      <w:r w:rsidRPr="00046EA5">
        <w:rPr>
          <w:rFonts w:ascii="Century Gothic" w:hAnsi="Century Gothic" w:cs="Arial"/>
          <w:bCs/>
          <w:i/>
          <w:iCs/>
          <w:color w:val="000000" w:themeColor="text1"/>
          <w:spacing w:val="-6"/>
          <w:sz w:val="24"/>
          <w:szCs w:val="24"/>
          <w:lang w:val="es-ES_tradnl"/>
        </w:rPr>
        <w:lastRenderedPageBreak/>
        <w:t>“</w:t>
      </w:r>
      <w:r w:rsidRPr="00046EA5">
        <w:rPr>
          <w:rFonts w:ascii="Century Gothic" w:hAnsi="Century Gothic" w:cs="Arial"/>
          <w:bCs/>
          <w:i/>
          <w:iCs/>
          <w:color w:val="000000" w:themeColor="text1"/>
          <w:spacing w:val="3"/>
          <w:sz w:val="24"/>
          <w:szCs w:val="24"/>
          <w:lang w:val="es-ES_tradnl"/>
        </w:rPr>
        <w:t>ARTÍCULO 100. BASES DE LIQUIDACIÓN. A</w:t>
      </w:r>
      <w:r w:rsidRPr="00046EA5">
        <w:rPr>
          <w:rFonts w:ascii="Century Gothic" w:hAnsi="Century Gothic" w:cs="Arial"/>
          <w:bCs/>
          <w:i/>
          <w:iCs/>
          <w:color w:val="000000" w:themeColor="text1"/>
          <w:spacing w:val="-6"/>
          <w:sz w:val="24"/>
          <w:szCs w:val="24"/>
          <w:lang w:val="es-ES_tradnl"/>
        </w:rPr>
        <w:t xml:space="preserve"> partir de la vigencia del presente Decreto a los Agentes de la Policía Nacional que se retiren o sean retirados del servicio activo se les liquidarán las prestaciones sociales unitarias y periódicas, sobre las siguientes partidas, así:</w:t>
      </w:r>
    </w:p>
    <w:p w:rsidR="009E157D" w:rsidRPr="00046EA5" w:rsidRDefault="009E157D" w:rsidP="006B765D">
      <w:pPr>
        <w:spacing w:after="0" w:line="384" w:lineRule="auto"/>
        <w:ind w:left="284"/>
        <w:jc w:val="both"/>
        <w:rPr>
          <w:rFonts w:ascii="Century Gothic" w:hAnsi="Century Gothic" w:cs="Arial"/>
          <w:bCs/>
          <w:i/>
          <w:iCs/>
          <w:color w:val="000000" w:themeColor="text1"/>
          <w:spacing w:val="-6"/>
          <w:sz w:val="24"/>
          <w:szCs w:val="24"/>
          <w:lang w:val="es-ES_tradnl"/>
        </w:rPr>
      </w:pPr>
      <w:r w:rsidRPr="00046EA5">
        <w:rPr>
          <w:rFonts w:ascii="Century Gothic" w:hAnsi="Century Gothic" w:cs="Arial"/>
          <w:bCs/>
          <w:i/>
          <w:iCs/>
          <w:color w:val="000000" w:themeColor="text1"/>
          <w:spacing w:val="-6"/>
          <w:sz w:val="24"/>
          <w:szCs w:val="24"/>
          <w:lang w:val="es-ES_tradnl"/>
        </w:rPr>
        <w:t>a. Sueldo básico.</w:t>
      </w:r>
    </w:p>
    <w:p w:rsidR="009E157D" w:rsidRPr="00046EA5" w:rsidRDefault="009E157D" w:rsidP="006B765D">
      <w:pPr>
        <w:spacing w:after="0" w:line="384" w:lineRule="auto"/>
        <w:ind w:left="284"/>
        <w:jc w:val="both"/>
        <w:rPr>
          <w:rFonts w:ascii="Century Gothic" w:hAnsi="Century Gothic" w:cs="Arial"/>
          <w:bCs/>
          <w:i/>
          <w:iCs/>
          <w:color w:val="000000" w:themeColor="text1"/>
          <w:spacing w:val="-6"/>
          <w:sz w:val="24"/>
          <w:szCs w:val="24"/>
          <w:lang w:val="es-ES_tradnl"/>
        </w:rPr>
      </w:pPr>
      <w:r w:rsidRPr="00046EA5">
        <w:rPr>
          <w:rFonts w:ascii="Century Gothic" w:hAnsi="Century Gothic" w:cs="Arial"/>
          <w:bCs/>
          <w:i/>
          <w:iCs/>
          <w:color w:val="000000" w:themeColor="text1"/>
          <w:spacing w:val="-6"/>
          <w:sz w:val="24"/>
          <w:szCs w:val="24"/>
          <w:lang w:val="es-ES_tradnl"/>
        </w:rPr>
        <w:t>b. Prima de actividad en los porcentajes previstos en este Estatuto.</w:t>
      </w:r>
    </w:p>
    <w:p w:rsidR="006B765D" w:rsidRPr="00046EA5" w:rsidRDefault="009E157D" w:rsidP="006B765D">
      <w:pPr>
        <w:spacing w:after="0" w:line="384" w:lineRule="auto"/>
        <w:ind w:left="284"/>
        <w:jc w:val="both"/>
        <w:rPr>
          <w:rFonts w:ascii="Century Gothic" w:hAnsi="Century Gothic" w:cs="Arial"/>
          <w:bCs/>
          <w:i/>
          <w:iCs/>
          <w:color w:val="000000" w:themeColor="text1"/>
          <w:spacing w:val="-6"/>
          <w:sz w:val="24"/>
          <w:szCs w:val="24"/>
          <w:lang w:val="es-ES_tradnl"/>
        </w:rPr>
      </w:pPr>
      <w:r w:rsidRPr="00046EA5">
        <w:rPr>
          <w:rFonts w:ascii="Century Gothic" w:hAnsi="Century Gothic" w:cs="Arial"/>
          <w:bCs/>
          <w:i/>
          <w:iCs/>
          <w:color w:val="000000" w:themeColor="text1"/>
          <w:spacing w:val="-6"/>
          <w:sz w:val="24"/>
          <w:szCs w:val="24"/>
          <w:lang w:val="es-ES_tradnl"/>
        </w:rPr>
        <w:t xml:space="preserve">c. Prima de </w:t>
      </w:r>
      <w:r w:rsidR="00F41898" w:rsidRPr="00046EA5">
        <w:rPr>
          <w:rFonts w:ascii="Century Gothic" w:hAnsi="Century Gothic" w:cs="Arial"/>
          <w:bCs/>
          <w:i/>
          <w:iCs/>
          <w:color w:val="000000" w:themeColor="text1"/>
          <w:spacing w:val="-6"/>
          <w:sz w:val="24"/>
          <w:szCs w:val="24"/>
          <w:lang w:val="es-ES_tradnl"/>
        </w:rPr>
        <w:t>antigüedad</w:t>
      </w:r>
      <w:r w:rsidRPr="00046EA5">
        <w:rPr>
          <w:rFonts w:ascii="Century Gothic" w:hAnsi="Century Gothic" w:cs="Arial"/>
          <w:bCs/>
          <w:i/>
          <w:iCs/>
          <w:color w:val="000000" w:themeColor="text1"/>
          <w:spacing w:val="-6"/>
          <w:sz w:val="24"/>
          <w:szCs w:val="24"/>
          <w:lang w:val="es-ES_tradnl"/>
        </w:rPr>
        <w:t>. Una duodécima (1/12) parte de la prima de navidad.</w:t>
      </w:r>
    </w:p>
    <w:p w:rsidR="006B765D" w:rsidRPr="00046EA5" w:rsidRDefault="009E157D" w:rsidP="006B765D">
      <w:pPr>
        <w:spacing w:after="0" w:line="384" w:lineRule="auto"/>
        <w:ind w:left="284"/>
        <w:jc w:val="both"/>
        <w:rPr>
          <w:rFonts w:ascii="Century Gothic" w:hAnsi="Century Gothic" w:cs="Arial"/>
          <w:bCs/>
          <w:i/>
          <w:iCs/>
          <w:color w:val="000000" w:themeColor="text1"/>
          <w:spacing w:val="-6"/>
          <w:sz w:val="24"/>
          <w:szCs w:val="24"/>
          <w:lang w:val="es-ES_tradnl"/>
        </w:rPr>
      </w:pPr>
      <w:r w:rsidRPr="00046EA5">
        <w:rPr>
          <w:rFonts w:ascii="Century Gothic" w:hAnsi="Century Gothic" w:cs="Arial"/>
          <w:bCs/>
          <w:i/>
          <w:iCs/>
          <w:color w:val="000000" w:themeColor="text1"/>
          <w:spacing w:val="-6"/>
          <w:sz w:val="24"/>
          <w:szCs w:val="24"/>
          <w:lang w:val="es-ES_tradnl"/>
        </w:rPr>
        <w:t>e. Subsidio familiar. En el caso de las asignaciones de retiro y pensiones, se liquidará conforme al artículo 46 de este Estatuto, sin que el total por este concepto sobrepase el cuarenta y siete por ciento (47%) del respectivo sueldo básico. […]”</w:t>
      </w:r>
      <w:bookmarkStart w:id="1" w:name="101"/>
      <w:bookmarkEnd w:id="1"/>
    </w:p>
    <w:p w:rsidR="006B765D" w:rsidRPr="00046EA5" w:rsidRDefault="006B765D" w:rsidP="006B765D">
      <w:pPr>
        <w:spacing w:after="0" w:line="384" w:lineRule="auto"/>
        <w:ind w:left="284"/>
        <w:jc w:val="both"/>
        <w:rPr>
          <w:rFonts w:ascii="Century Gothic" w:hAnsi="Century Gothic" w:cs="Arial"/>
          <w:bCs/>
          <w:i/>
          <w:iCs/>
          <w:color w:val="000000" w:themeColor="text1"/>
          <w:spacing w:val="-6"/>
          <w:sz w:val="24"/>
          <w:szCs w:val="24"/>
          <w:lang w:val="es-ES_tradnl"/>
        </w:rPr>
      </w:pPr>
    </w:p>
    <w:p w:rsidR="009E157D" w:rsidRPr="00046EA5" w:rsidRDefault="009E157D" w:rsidP="006B765D">
      <w:pPr>
        <w:spacing w:after="0" w:line="384" w:lineRule="auto"/>
        <w:ind w:left="284"/>
        <w:jc w:val="both"/>
        <w:rPr>
          <w:rFonts w:ascii="Century Gothic" w:hAnsi="Century Gothic" w:cs="Arial"/>
          <w:bCs/>
          <w:i/>
          <w:iCs/>
          <w:color w:val="000000" w:themeColor="text1"/>
          <w:spacing w:val="-6"/>
          <w:sz w:val="24"/>
          <w:szCs w:val="24"/>
          <w:lang w:val="es-ES_tradnl"/>
        </w:rPr>
      </w:pPr>
      <w:r w:rsidRPr="00046EA5">
        <w:rPr>
          <w:rFonts w:ascii="Century Gothic" w:hAnsi="Century Gothic" w:cs="Arial"/>
          <w:bCs/>
          <w:i/>
          <w:iCs/>
          <w:color w:val="000000" w:themeColor="text1"/>
          <w:spacing w:val="-6"/>
          <w:sz w:val="24"/>
          <w:szCs w:val="24"/>
          <w:lang w:val="es-ES_tradnl"/>
        </w:rPr>
        <w:t>“ARTÍCULO 101. CÓMPUTO PRIMA DE ACTIVIDAD. A los Agentes que se retiren o sean retirados del servicio activo a partir de la vigencia del presente Decreto, para efectos de asignación de retiro, pensión y demás prestaciones sociales, la prima de actividad se les computará de la siguiente forma:</w:t>
      </w:r>
    </w:p>
    <w:p w:rsidR="009E157D" w:rsidRPr="00046EA5" w:rsidRDefault="009E157D" w:rsidP="006B765D">
      <w:pPr>
        <w:spacing w:after="0" w:line="384" w:lineRule="auto"/>
        <w:ind w:left="397"/>
        <w:jc w:val="both"/>
        <w:rPr>
          <w:rFonts w:ascii="Century Gothic" w:hAnsi="Century Gothic" w:cs="Arial"/>
          <w:bCs/>
          <w:i/>
          <w:iCs/>
          <w:color w:val="000000" w:themeColor="text1"/>
          <w:spacing w:val="-6"/>
          <w:sz w:val="24"/>
          <w:szCs w:val="24"/>
          <w:lang w:val="es-ES_tradnl"/>
        </w:rPr>
      </w:pPr>
      <w:r w:rsidRPr="00046EA5">
        <w:rPr>
          <w:rFonts w:ascii="Century Gothic" w:hAnsi="Century Gothic" w:cs="Arial"/>
          <w:bCs/>
          <w:i/>
          <w:iCs/>
          <w:color w:val="000000" w:themeColor="text1"/>
          <w:spacing w:val="-6"/>
          <w:sz w:val="24"/>
          <w:szCs w:val="24"/>
          <w:lang w:val="es-ES_tradnl"/>
        </w:rPr>
        <w:t>- Para Agentes con menos de veinte (20) años de servicio, el quince por ciento (15%) del sueldo básico.</w:t>
      </w:r>
    </w:p>
    <w:p w:rsidR="009E157D" w:rsidRPr="00046EA5" w:rsidRDefault="009E157D" w:rsidP="006B765D">
      <w:pPr>
        <w:spacing w:after="0" w:line="384" w:lineRule="auto"/>
        <w:ind w:left="397"/>
        <w:jc w:val="both"/>
        <w:rPr>
          <w:rFonts w:ascii="Century Gothic" w:hAnsi="Century Gothic" w:cs="Arial"/>
          <w:bCs/>
          <w:i/>
          <w:iCs/>
          <w:color w:val="000000" w:themeColor="text1"/>
          <w:spacing w:val="-6"/>
          <w:sz w:val="24"/>
          <w:szCs w:val="24"/>
          <w:lang w:val="es-ES_tradnl"/>
        </w:rPr>
      </w:pPr>
      <w:r w:rsidRPr="00046EA5">
        <w:rPr>
          <w:rFonts w:ascii="Century Gothic" w:hAnsi="Century Gothic" w:cs="Arial"/>
          <w:bCs/>
          <w:i/>
          <w:iCs/>
          <w:color w:val="000000" w:themeColor="text1"/>
          <w:spacing w:val="-6"/>
          <w:sz w:val="24"/>
          <w:szCs w:val="24"/>
          <w:lang w:val="es-ES_tradnl"/>
        </w:rPr>
        <w:t>- Para agentes entre veinte (20) y veinticinco (25) años de servicio, el veinte por ciento (20%) del sueldo básico.</w:t>
      </w:r>
    </w:p>
    <w:p w:rsidR="009E157D" w:rsidRPr="00046EA5" w:rsidRDefault="009E157D" w:rsidP="006B765D">
      <w:pPr>
        <w:spacing w:after="0" w:line="384" w:lineRule="auto"/>
        <w:ind w:left="397"/>
        <w:jc w:val="both"/>
        <w:rPr>
          <w:rFonts w:ascii="Century Gothic" w:hAnsi="Century Gothic" w:cs="Arial"/>
          <w:bCs/>
          <w:i/>
          <w:iCs/>
          <w:color w:val="000000" w:themeColor="text1"/>
          <w:spacing w:val="-6"/>
          <w:sz w:val="24"/>
          <w:szCs w:val="24"/>
          <w:lang w:val="es-ES_tradnl"/>
        </w:rPr>
      </w:pPr>
      <w:r w:rsidRPr="00046EA5">
        <w:rPr>
          <w:rFonts w:ascii="Century Gothic" w:hAnsi="Century Gothic" w:cs="Arial"/>
          <w:bCs/>
          <w:i/>
          <w:iCs/>
          <w:color w:val="000000" w:themeColor="text1"/>
          <w:spacing w:val="-6"/>
          <w:sz w:val="24"/>
          <w:szCs w:val="24"/>
          <w:lang w:val="es-ES_tradnl"/>
        </w:rPr>
        <w:t>- Para Agentes con más de veinticinco (25) años de servicio, el veinticinco por ciento (25%) del sueldo básico.”</w:t>
      </w:r>
    </w:p>
    <w:p w:rsidR="009E157D" w:rsidRPr="00046EA5" w:rsidRDefault="009E157D" w:rsidP="006B765D">
      <w:pPr>
        <w:spacing w:after="0" w:line="384" w:lineRule="auto"/>
        <w:ind w:left="397"/>
        <w:jc w:val="both"/>
        <w:rPr>
          <w:rFonts w:ascii="Century Gothic" w:hAnsi="Century Gothic" w:cs="Arial"/>
          <w:bCs/>
          <w:iCs/>
          <w:color w:val="000000" w:themeColor="text1"/>
          <w:spacing w:val="-6"/>
          <w:sz w:val="24"/>
          <w:szCs w:val="24"/>
          <w:lang w:val="es-ES_tradnl"/>
        </w:rPr>
      </w:pPr>
    </w:p>
    <w:p w:rsidR="00046EA5" w:rsidRDefault="009E157D" w:rsidP="006B765D">
      <w:pPr>
        <w:pStyle w:val="Textoindependiente"/>
        <w:spacing w:line="384" w:lineRule="auto"/>
        <w:rPr>
          <w:rFonts w:ascii="Century Gothic" w:hAnsi="Century Gothic" w:cs="Tahoma"/>
          <w:bCs/>
          <w:iCs/>
          <w:color w:val="000000" w:themeColor="text1"/>
          <w:szCs w:val="24"/>
        </w:rPr>
      </w:pPr>
      <w:r w:rsidRPr="00046EA5">
        <w:rPr>
          <w:rFonts w:ascii="Century Gothic" w:hAnsi="Century Gothic" w:cs="Tahoma"/>
          <w:bCs/>
          <w:iCs/>
          <w:color w:val="000000" w:themeColor="text1"/>
          <w:szCs w:val="24"/>
        </w:rPr>
        <w:t xml:space="preserve">Así las cosas,  la prima de actividad fue establecida, entonces, desde una doble perspectiva, a saber: como elemento de salario, fijada en un porcentaje equivalente en principio al 30% del sueldo básico para el personal activo de agentes, aumentable en proporción del 5% por cada 5 años de servicios; pero también, como factor de salario o salarial computable como partida dentro de la base liquidatoria de la asignación de retiro, de acuerdo a una escala porcentual y siempre en función del salario básico percibido al tiempo del retiro, tal como lo señala en su recuento el Tribunal Contencioso Administrativo del Cauca, Sentencia NR 133. </w:t>
      </w:r>
    </w:p>
    <w:p w:rsidR="00D7646D" w:rsidRPr="00046EA5" w:rsidRDefault="00D7646D" w:rsidP="006B765D">
      <w:pPr>
        <w:pStyle w:val="Textoindependiente"/>
        <w:spacing w:line="384" w:lineRule="auto"/>
        <w:rPr>
          <w:rFonts w:ascii="Century Gothic" w:hAnsi="Century Gothic" w:cs="Tahoma"/>
          <w:bCs/>
          <w:color w:val="000000" w:themeColor="text1"/>
          <w:spacing w:val="-4"/>
          <w:szCs w:val="24"/>
        </w:rPr>
      </w:pPr>
    </w:p>
    <w:p w:rsidR="009E157D" w:rsidRPr="00046EA5" w:rsidRDefault="009E157D" w:rsidP="006B765D">
      <w:pPr>
        <w:pStyle w:val="Textoindependiente"/>
        <w:spacing w:line="384" w:lineRule="auto"/>
        <w:rPr>
          <w:rFonts w:ascii="Century Gothic" w:hAnsi="Century Gothic" w:cs="Tahoma"/>
          <w:bCs/>
          <w:color w:val="000000" w:themeColor="text1"/>
          <w:spacing w:val="-4"/>
          <w:szCs w:val="24"/>
        </w:rPr>
      </w:pPr>
      <w:r w:rsidRPr="00046EA5">
        <w:rPr>
          <w:rFonts w:ascii="Century Gothic" w:hAnsi="Century Gothic" w:cs="Tahoma"/>
          <w:bCs/>
          <w:color w:val="000000" w:themeColor="text1"/>
          <w:spacing w:val="-4"/>
          <w:szCs w:val="24"/>
        </w:rPr>
        <w:t xml:space="preserve">Siguiendo el recorrido normativo, en uso de la facultad establecida en el numeral 19 literal e) del artículo 150 de la Constitución Política de 1991, fue sancionada la Ley 923 de 2004, en la cual se fijaron los principios, objetivos y criterios a que se sujetaría el Gobierno para fijar el régimen prestacional de los miembros de la Fuerza Pública. En desarrollo de esa última, se expidió el Decreto 4433 de 2004 del 31 de diciembre de 2004, </w:t>
      </w:r>
      <w:r w:rsidRPr="00046EA5">
        <w:rPr>
          <w:rFonts w:ascii="Century Gothic" w:hAnsi="Century Gothic" w:cs="Tahoma"/>
          <w:bCs/>
          <w:i/>
          <w:color w:val="000000" w:themeColor="text1"/>
          <w:spacing w:val="-4"/>
          <w:szCs w:val="24"/>
        </w:rPr>
        <w:t xml:space="preserve">“Por medio del cual se fija el régimen pensional y de asignación de retiro de los miembros de la Fuerza Pública” </w:t>
      </w:r>
      <w:r w:rsidRPr="00046EA5">
        <w:rPr>
          <w:rFonts w:ascii="Century Gothic" w:hAnsi="Century Gothic" w:cs="Tahoma"/>
          <w:bCs/>
          <w:color w:val="000000" w:themeColor="text1"/>
          <w:spacing w:val="-4"/>
          <w:szCs w:val="24"/>
          <w:lang w:val="es-ES"/>
        </w:rPr>
        <w:t>y en el cual se reguló la asignación de retiro para el personal de las Fuerzas Militares y de Policía. Decreto que reiteró la prima de actividad como</w:t>
      </w:r>
      <w:r w:rsidRPr="00046EA5">
        <w:rPr>
          <w:rFonts w:ascii="Century Gothic" w:hAnsi="Century Gothic" w:cs="Tahoma"/>
          <w:bCs/>
          <w:color w:val="000000" w:themeColor="text1"/>
          <w:spacing w:val="-4"/>
          <w:szCs w:val="24"/>
        </w:rPr>
        <w:t xml:space="preserve"> partida computable dentro de la base liquidatoria de las asignaciones de retiro y pensiones del personal de agentes, así:</w:t>
      </w:r>
    </w:p>
    <w:p w:rsidR="006B765D" w:rsidRPr="00046EA5" w:rsidRDefault="006B765D" w:rsidP="006B765D">
      <w:pPr>
        <w:pStyle w:val="Textoindependiente"/>
        <w:spacing w:line="384" w:lineRule="auto"/>
        <w:rPr>
          <w:rFonts w:ascii="Century Gothic" w:hAnsi="Century Gothic" w:cs="Tahoma"/>
          <w:bCs/>
          <w:color w:val="000000" w:themeColor="text1"/>
          <w:spacing w:val="-4"/>
          <w:szCs w:val="24"/>
        </w:rPr>
      </w:pPr>
    </w:p>
    <w:p w:rsidR="009E157D" w:rsidRPr="00046EA5" w:rsidRDefault="009E157D" w:rsidP="006B765D">
      <w:pPr>
        <w:spacing w:after="0" w:line="384" w:lineRule="auto"/>
        <w:ind w:left="284"/>
        <w:jc w:val="both"/>
        <w:rPr>
          <w:rFonts w:ascii="Century Gothic" w:hAnsi="Century Gothic" w:cs="Arial"/>
          <w:i/>
          <w:color w:val="000000" w:themeColor="text1"/>
          <w:spacing w:val="-4"/>
          <w:sz w:val="24"/>
          <w:szCs w:val="24"/>
        </w:rPr>
      </w:pPr>
      <w:r w:rsidRPr="00046EA5">
        <w:rPr>
          <w:rFonts w:ascii="Century Gothic" w:hAnsi="Century Gothic" w:cs="Arial"/>
          <w:color w:val="000000" w:themeColor="text1"/>
          <w:spacing w:val="-4"/>
          <w:sz w:val="24"/>
          <w:szCs w:val="24"/>
        </w:rPr>
        <w:lastRenderedPageBreak/>
        <w:t>“</w:t>
      </w:r>
      <w:r w:rsidRPr="00046EA5">
        <w:rPr>
          <w:rFonts w:ascii="Century Gothic" w:hAnsi="Century Gothic" w:cs="Arial"/>
          <w:i/>
          <w:color w:val="000000" w:themeColor="text1"/>
          <w:spacing w:val="-4"/>
          <w:sz w:val="24"/>
          <w:szCs w:val="24"/>
        </w:rPr>
        <w:t xml:space="preserve">Artículo 23. Partidas computables. La asignación de retiro, la pensión de invalidez, y la pensión de sobrevivencia a las que se refiere el presente decreto del personal de la Policía Nacional, se liquidarán según corresponda en cada caso, sobre las siguientes partidas así: </w:t>
      </w:r>
    </w:p>
    <w:p w:rsidR="009E157D" w:rsidRPr="00046EA5" w:rsidRDefault="009E157D" w:rsidP="006B765D">
      <w:pPr>
        <w:spacing w:after="0" w:line="384" w:lineRule="auto"/>
        <w:ind w:left="284"/>
        <w:jc w:val="both"/>
        <w:rPr>
          <w:rFonts w:ascii="Century Gothic" w:hAnsi="Century Gothic" w:cs="Arial"/>
          <w:i/>
          <w:color w:val="000000" w:themeColor="text1"/>
          <w:spacing w:val="-4"/>
          <w:sz w:val="24"/>
          <w:szCs w:val="24"/>
        </w:rPr>
      </w:pPr>
    </w:p>
    <w:p w:rsidR="009E157D" w:rsidRPr="00046EA5" w:rsidRDefault="009E157D" w:rsidP="006B765D">
      <w:pPr>
        <w:spacing w:after="0" w:line="384" w:lineRule="auto"/>
        <w:ind w:left="284"/>
        <w:jc w:val="both"/>
        <w:rPr>
          <w:rFonts w:ascii="Century Gothic" w:hAnsi="Century Gothic" w:cs="Arial"/>
          <w:i/>
          <w:color w:val="000000" w:themeColor="text1"/>
          <w:spacing w:val="-4"/>
          <w:sz w:val="24"/>
          <w:szCs w:val="24"/>
        </w:rPr>
      </w:pPr>
      <w:r w:rsidRPr="00046EA5">
        <w:rPr>
          <w:rFonts w:ascii="Century Gothic" w:hAnsi="Century Gothic" w:cs="Arial"/>
          <w:i/>
          <w:color w:val="000000" w:themeColor="text1"/>
          <w:spacing w:val="-4"/>
          <w:sz w:val="24"/>
          <w:szCs w:val="24"/>
        </w:rPr>
        <w:t xml:space="preserve">23.1 Oficiales, Suboficiales y Agentes </w:t>
      </w:r>
    </w:p>
    <w:p w:rsidR="009E157D" w:rsidRPr="00046EA5" w:rsidRDefault="009E157D" w:rsidP="006B765D">
      <w:pPr>
        <w:spacing w:after="0" w:line="384" w:lineRule="auto"/>
        <w:ind w:left="284"/>
        <w:jc w:val="both"/>
        <w:rPr>
          <w:rFonts w:ascii="Century Gothic" w:hAnsi="Century Gothic" w:cs="Arial"/>
          <w:i/>
          <w:color w:val="000000" w:themeColor="text1"/>
          <w:spacing w:val="-4"/>
          <w:sz w:val="24"/>
          <w:szCs w:val="24"/>
        </w:rPr>
      </w:pPr>
      <w:r w:rsidRPr="00046EA5">
        <w:rPr>
          <w:rFonts w:ascii="Century Gothic" w:hAnsi="Century Gothic" w:cs="Arial"/>
          <w:i/>
          <w:color w:val="000000" w:themeColor="text1"/>
          <w:spacing w:val="-4"/>
          <w:sz w:val="24"/>
          <w:szCs w:val="24"/>
        </w:rPr>
        <w:t>23.1.1 Sueldo básico.</w:t>
      </w:r>
    </w:p>
    <w:p w:rsidR="009E157D" w:rsidRPr="00046EA5" w:rsidRDefault="009E157D" w:rsidP="006B765D">
      <w:pPr>
        <w:spacing w:after="0" w:line="384" w:lineRule="auto"/>
        <w:ind w:left="284"/>
        <w:jc w:val="both"/>
        <w:rPr>
          <w:rFonts w:ascii="Century Gothic" w:hAnsi="Century Gothic" w:cs="Arial"/>
          <w:i/>
          <w:color w:val="000000" w:themeColor="text1"/>
          <w:spacing w:val="-4"/>
          <w:sz w:val="24"/>
          <w:szCs w:val="24"/>
        </w:rPr>
      </w:pPr>
      <w:r w:rsidRPr="00046EA5">
        <w:rPr>
          <w:rFonts w:ascii="Century Gothic" w:hAnsi="Century Gothic" w:cs="Arial"/>
          <w:i/>
          <w:color w:val="000000" w:themeColor="text1"/>
          <w:spacing w:val="-4"/>
          <w:sz w:val="24"/>
          <w:szCs w:val="24"/>
        </w:rPr>
        <w:t>23.1 2 Prima de actividad.</w:t>
      </w:r>
    </w:p>
    <w:p w:rsidR="009E157D" w:rsidRPr="00046EA5" w:rsidRDefault="009E157D" w:rsidP="006B765D">
      <w:pPr>
        <w:spacing w:after="0" w:line="384" w:lineRule="auto"/>
        <w:ind w:left="284"/>
        <w:jc w:val="both"/>
        <w:rPr>
          <w:rFonts w:ascii="Century Gothic" w:hAnsi="Century Gothic" w:cs="Arial"/>
          <w:i/>
          <w:color w:val="000000" w:themeColor="text1"/>
          <w:spacing w:val="-4"/>
          <w:sz w:val="24"/>
          <w:szCs w:val="24"/>
        </w:rPr>
      </w:pPr>
      <w:r w:rsidRPr="00046EA5">
        <w:rPr>
          <w:rFonts w:ascii="Century Gothic" w:hAnsi="Century Gothic" w:cs="Arial"/>
          <w:i/>
          <w:color w:val="000000" w:themeColor="text1"/>
          <w:spacing w:val="-4"/>
          <w:sz w:val="24"/>
          <w:szCs w:val="24"/>
        </w:rPr>
        <w:t>23.1.3 Prima de antigüedad.</w:t>
      </w:r>
    </w:p>
    <w:p w:rsidR="009E157D" w:rsidRPr="00046EA5" w:rsidRDefault="009E157D" w:rsidP="006B765D">
      <w:pPr>
        <w:spacing w:after="0" w:line="384" w:lineRule="auto"/>
        <w:ind w:left="284"/>
        <w:jc w:val="both"/>
        <w:rPr>
          <w:rFonts w:ascii="Century Gothic" w:hAnsi="Century Gothic" w:cs="Arial"/>
          <w:i/>
          <w:color w:val="000000" w:themeColor="text1"/>
          <w:spacing w:val="-4"/>
          <w:sz w:val="24"/>
          <w:szCs w:val="24"/>
        </w:rPr>
      </w:pPr>
      <w:r w:rsidRPr="00046EA5">
        <w:rPr>
          <w:rFonts w:ascii="Century Gothic" w:hAnsi="Century Gothic" w:cs="Arial"/>
          <w:i/>
          <w:color w:val="000000" w:themeColor="text1"/>
          <w:spacing w:val="-4"/>
          <w:sz w:val="24"/>
          <w:szCs w:val="24"/>
        </w:rPr>
        <w:t>23.1.4 Prima de academia superior.</w:t>
      </w:r>
    </w:p>
    <w:p w:rsidR="009E157D" w:rsidRPr="00046EA5" w:rsidRDefault="009E157D" w:rsidP="006B765D">
      <w:pPr>
        <w:spacing w:after="0" w:line="384" w:lineRule="auto"/>
        <w:ind w:left="284"/>
        <w:jc w:val="both"/>
        <w:rPr>
          <w:rFonts w:ascii="Century Gothic" w:hAnsi="Century Gothic" w:cs="Arial"/>
          <w:i/>
          <w:color w:val="000000" w:themeColor="text1"/>
          <w:spacing w:val="-4"/>
          <w:sz w:val="24"/>
          <w:szCs w:val="24"/>
        </w:rPr>
      </w:pPr>
      <w:r w:rsidRPr="00046EA5">
        <w:rPr>
          <w:rFonts w:ascii="Century Gothic" w:hAnsi="Century Gothic" w:cs="Arial"/>
          <w:i/>
          <w:color w:val="000000" w:themeColor="text1"/>
          <w:spacing w:val="-4"/>
          <w:sz w:val="24"/>
          <w:szCs w:val="24"/>
        </w:rPr>
        <w:t>23.1.5 Prima de vuelo, en los términos establecidos en el artículo 6° del presente decreto.</w:t>
      </w:r>
    </w:p>
    <w:p w:rsidR="009E157D" w:rsidRPr="00046EA5" w:rsidRDefault="009E157D" w:rsidP="006B765D">
      <w:pPr>
        <w:spacing w:after="0" w:line="384" w:lineRule="auto"/>
        <w:ind w:left="284"/>
        <w:jc w:val="both"/>
        <w:rPr>
          <w:rFonts w:ascii="Century Gothic" w:hAnsi="Century Gothic" w:cs="Arial"/>
          <w:i/>
          <w:color w:val="000000" w:themeColor="text1"/>
          <w:spacing w:val="-4"/>
          <w:sz w:val="24"/>
          <w:szCs w:val="24"/>
        </w:rPr>
      </w:pPr>
      <w:r w:rsidRPr="00046EA5">
        <w:rPr>
          <w:rFonts w:ascii="Century Gothic" w:hAnsi="Century Gothic" w:cs="Arial"/>
          <w:i/>
          <w:color w:val="000000" w:themeColor="text1"/>
          <w:spacing w:val="-4"/>
          <w:sz w:val="24"/>
          <w:szCs w:val="24"/>
        </w:rPr>
        <w:t>23.1.6 Gastos de representación para Oficiales Generales.</w:t>
      </w:r>
    </w:p>
    <w:p w:rsidR="009E157D" w:rsidRPr="00046EA5" w:rsidRDefault="009E157D" w:rsidP="006B765D">
      <w:pPr>
        <w:spacing w:after="0" w:line="384" w:lineRule="auto"/>
        <w:ind w:left="284"/>
        <w:jc w:val="both"/>
        <w:rPr>
          <w:rFonts w:ascii="Century Gothic" w:hAnsi="Century Gothic" w:cs="Arial"/>
          <w:i/>
          <w:color w:val="000000" w:themeColor="text1"/>
          <w:spacing w:val="-4"/>
          <w:sz w:val="24"/>
          <w:szCs w:val="24"/>
        </w:rPr>
      </w:pPr>
      <w:r w:rsidRPr="00046EA5">
        <w:rPr>
          <w:rFonts w:ascii="Century Gothic" w:hAnsi="Century Gothic" w:cs="Arial"/>
          <w:i/>
          <w:color w:val="000000" w:themeColor="text1"/>
          <w:spacing w:val="-4"/>
          <w:sz w:val="24"/>
          <w:szCs w:val="24"/>
        </w:rPr>
        <w:t>23.1.7 Subsidio familiar en el porcentaje que se encuentre reconocido a la fecha de retiro.</w:t>
      </w:r>
    </w:p>
    <w:p w:rsidR="009E157D" w:rsidRPr="00046EA5" w:rsidRDefault="009E157D" w:rsidP="006B765D">
      <w:pPr>
        <w:spacing w:after="0" w:line="384" w:lineRule="auto"/>
        <w:ind w:left="284"/>
        <w:jc w:val="both"/>
        <w:rPr>
          <w:rFonts w:ascii="Century Gothic" w:hAnsi="Century Gothic" w:cs="Arial"/>
          <w:i/>
          <w:color w:val="000000" w:themeColor="text1"/>
          <w:spacing w:val="-4"/>
          <w:sz w:val="24"/>
          <w:szCs w:val="24"/>
        </w:rPr>
      </w:pPr>
      <w:r w:rsidRPr="00046EA5">
        <w:rPr>
          <w:rFonts w:ascii="Century Gothic" w:hAnsi="Century Gothic" w:cs="Arial"/>
          <w:i/>
          <w:color w:val="000000" w:themeColor="text1"/>
          <w:spacing w:val="-4"/>
          <w:sz w:val="24"/>
          <w:szCs w:val="24"/>
        </w:rPr>
        <w:t>23.1.8 Bonificación de los agentes del cuerpo especial, cuando sean ascendidos al grado de cabo segundo y hayan servido por lo menos treinta (30) años como agentes, sin contar los tiempos dobles.</w:t>
      </w:r>
    </w:p>
    <w:p w:rsidR="009E157D" w:rsidRPr="00046EA5" w:rsidRDefault="009E157D" w:rsidP="006B765D">
      <w:pPr>
        <w:spacing w:after="0" w:line="384" w:lineRule="auto"/>
        <w:ind w:left="284"/>
        <w:jc w:val="both"/>
        <w:rPr>
          <w:rFonts w:ascii="Century Gothic" w:hAnsi="Century Gothic" w:cs="Arial"/>
          <w:i/>
          <w:color w:val="000000" w:themeColor="text1"/>
          <w:spacing w:val="-4"/>
          <w:sz w:val="24"/>
          <w:szCs w:val="24"/>
        </w:rPr>
      </w:pPr>
      <w:r w:rsidRPr="00046EA5">
        <w:rPr>
          <w:rFonts w:ascii="Century Gothic" w:hAnsi="Century Gothic" w:cs="Arial"/>
          <w:i/>
          <w:color w:val="000000" w:themeColor="text1"/>
          <w:spacing w:val="-4"/>
          <w:sz w:val="24"/>
          <w:szCs w:val="24"/>
        </w:rPr>
        <w:t xml:space="preserve">23.1.9 Duodécima parte de la Prima de Navidad liquidada con los últimos haberes percibidos a la fecha fiscal de retiro. [...]” </w:t>
      </w:r>
    </w:p>
    <w:p w:rsidR="009E157D" w:rsidRPr="00046EA5" w:rsidRDefault="009E157D" w:rsidP="006B765D">
      <w:pPr>
        <w:spacing w:after="0" w:line="384" w:lineRule="auto"/>
        <w:jc w:val="both"/>
        <w:rPr>
          <w:rFonts w:ascii="Century Gothic" w:hAnsi="Century Gothic" w:cs="Arial"/>
          <w:color w:val="000000" w:themeColor="text1"/>
          <w:spacing w:val="-4"/>
          <w:sz w:val="24"/>
          <w:szCs w:val="24"/>
          <w:lang w:val="es-ES_tradnl"/>
        </w:rPr>
      </w:pPr>
    </w:p>
    <w:p w:rsidR="009E157D" w:rsidRPr="00046EA5" w:rsidRDefault="009E157D" w:rsidP="006B765D">
      <w:pPr>
        <w:spacing w:after="0" w:line="384" w:lineRule="auto"/>
        <w:jc w:val="both"/>
        <w:rPr>
          <w:rFonts w:ascii="Century Gothic" w:hAnsi="Century Gothic" w:cs="Arial"/>
          <w:color w:val="000000" w:themeColor="text1"/>
          <w:spacing w:val="-4"/>
          <w:sz w:val="24"/>
          <w:szCs w:val="24"/>
        </w:rPr>
      </w:pPr>
      <w:r w:rsidRPr="00046EA5">
        <w:rPr>
          <w:rFonts w:ascii="Century Gothic" w:hAnsi="Century Gothic" w:cs="Arial"/>
          <w:color w:val="000000" w:themeColor="text1"/>
          <w:spacing w:val="-4"/>
          <w:sz w:val="24"/>
          <w:szCs w:val="24"/>
        </w:rPr>
        <w:t xml:space="preserve">A su turno, el artículo 24 ibídem reguló el porcentaje de reconocimiento aplicable a la base liquidatoria de las asignaciones de retiro del personal beneficiario de la nueva regulación, bajo una escala determinada por el </w:t>
      </w:r>
      <w:r w:rsidRPr="00046EA5">
        <w:rPr>
          <w:rFonts w:ascii="Century Gothic" w:hAnsi="Century Gothic" w:cs="Arial"/>
          <w:color w:val="000000" w:themeColor="text1"/>
          <w:spacing w:val="-4"/>
          <w:sz w:val="24"/>
          <w:szCs w:val="24"/>
        </w:rPr>
        <w:lastRenderedPageBreak/>
        <w:t>tiempo de servicio cumplido por el servidor al tiempo del retiro, en los siguientes términos:</w:t>
      </w:r>
    </w:p>
    <w:p w:rsidR="009E157D" w:rsidRPr="00046EA5" w:rsidRDefault="009E157D" w:rsidP="006B765D">
      <w:pPr>
        <w:spacing w:after="0" w:line="384" w:lineRule="auto"/>
        <w:ind w:left="397"/>
        <w:jc w:val="both"/>
        <w:rPr>
          <w:rFonts w:ascii="Century Gothic" w:hAnsi="Century Gothic" w:cs="Arial"/>
          <w:i/>
          <w:color w:val="000000" w:themeColor="text1"/>
          <w:spacing w:val="-4"/>
          <w:sz w:val="24"/>
          <w:szCs w:val="24"/>
        </w:rPr>
      </w:pPr>
      <w:r w:rsidRPr="00046EA5">
        <w:rPr>
          <w:rFonts w:ascii="Century Gothic" w:hAnsi="Century Gothic" w:cs="Arial"/>
          <w:bCs/>
          <w:i/>
          <w:color w:val="000000" w:themeColor="text1"/>
          <w:spacing w:val="-4"/>
          <w:sz w:val="24"/>
          <w:szCs w:val="24"/>
        </w:rPr>
        <w:t>“Artículo 24. </w:t>
      </w:r>
      <w:r w:rsidRPr="00046EA5">
        <w:rPr>
          <w:rFonts w:ascii="Century Gothic" w:hAnsi="Century Gothic" w:cs="Arial"/>
          <w:i/>
          <w:iCs/>
          <w:color w:val="000000" w:themeColor="text1"/>
          <w:spacing w:val="-4"/>
          <w:sz w:val="24"/>
          <w:szCs w:val="24"/>
        </w:rPr>
        <w:t>Asignación de retiro para el personal de Oficiales, Suboficiales y Agentes de la Policía Nacional en actividad.</w:t>
      </w:r>
      <w:r w:rsidRPr="00046EA5">
        <w:rPr>
          <w:rFonts w:ascii="Century Gothic" w:hAnsi="Century Gothic" w:cs="Arial"/>
          <w:i/>
          <w:color w:val="000000" w:themeColor="text1"/>
          <w:spacing w:val="-4"/>
          <w:sz w:val="24"/>
          <w:szCs w:val="24"/>
        </w:rPr>
        <w:t> Los Oficiales, Suboficiales y Agentes de la Policía Nacional en servicio activo que a la fecha de entrada en vigencia del presente decreto, sean retirados después de dieciocho (18) años de servicio, por llamamiento a calificar servicios, por disminución de la capacidad psicofísica, o por voluntad del Gobierno o de la Dirección General de la Policía Nacional según corresponda, y los que se retiren o sean retirados o sean separados en forma absoluta con más de veinte (20) años de servicio, tendrán derecho a partir de la fecha en que terminen los tres (3) meses de alta, a que por la Caja de Sueldos de Retiro de la Policía Nacional, se les pague una asignación mensual de retiro, así:</w:t>
      </w:r>
    </w:p>
    <w:p w:rsidR="009E157D" w:rsidRPr="00046EA5" w:rsidRDefault="009E157D" w:rsidP="006B765D">
      <w:pPr>
        <w:spacing w:after="0" w:line="384" w:lineRule="auto"/>
        <w:ind w:left="397"/>
        <w:jc w:val="both"/>
        <w:rPr>
          <w:rFonts w:ascii="Century Gothic" w:hAnsi="Century Gothic" w:cs="Arial"/>
          <w:i/>
          <w:color w:val="000000" w:themeColor="text1"/>
          <w:spacing w:val="-4"/>
          <w:sz w:val="24"/>
          <w:szCs w:val="24"/>
        </w:rPr>
      </w:pPr>
    </w:p>
    <w:p w:rsidR="009E157D" w:rsidRPr="00046EA5" w:rsidRDefault="009E157D" w:rsidP="006B765D">
      <w:pPr>
        <w:spacing w:after="0" w:line="384" w:lineRule="auto"/>
        <w:ind w:left="397"/>
        <w:jc w:val="both"/>
        <w:rPr>
          <w:rFonts w:ascii="Century Gothic" w:hAnsi="Century Gothic" w:cs="Arial"/>
          <w:i/>
          <w:color w:val="000000" w:themeColor="text1"/>
          <w:spacing w:val="-4"/>
          <w:sz w:val="24"/>
          <w:szCs w:val="24"/>
        </w:rPr>
      </w:pPr>
      <w:r w:rsidRPr="00046EA5">
        <w:rPr>
          <w:rFonts w:ascii="Century Gothic" w:hAnsi="Century Gothic" w:cs="Arial"/>
          <w:i/>
          <w:color w:val="000000" w:themeColor="text1"/>
          <w:spacing w:val="-4"/>
          <w:sz w:val="24"/>
          <w:szCs w:val="24"/>
        </w:rPr>
        <w:t>24.1 El sesenta y dos por ciento (62%) del monto de las partidas computables a que se refiere el artículo 23 del presente Decreto, por los primeros dieciocho (18) años de servicio.</w:t>
      </w:r>
    </w:p>
    <w:p w:rsidR="009E157D" w:rsidRPr="00046EA5" w:rsidRDefault="009E157D" w:rsidP="006B765D">
      <w:pPr>
        <w:spacing w:after="0" w:line="384" w:lineRule="auto"/>
        <w:ind w:left="397"/>
        <w:jc w:val="both"/>
        <w:rPr>
          <w:rFonts w:ascii="Century Gothic" w:hAnsi="Century Gothic" w:cs="Arial"/>
          <w:i/>
          <w:color w:val="000000" w:themeColor="text1"/>
          <w:spacing w:val="-4"/>
          <w:sz w:val="24"/>
          <w:szCs w:val="24"/>
        </w:rPr>
      </w:pPr>
    </w:p>
    <w:p w:rsidR="009E157D" w:rsidRPr="00046EA5" w:rsidRDefault="009E157D" w:rsidP="006B765D">
      <w:pPr>
        <w:spacing w:after="0" w:line="384" w:lineRule="auto"/>
        <w:ind w:left="397"/>
        <w:jc w:val="both"/>
        <w:rPr>
          <w:rFonts w:ascii="Century Gothic" w:hAnsi="Century Gothic" w:cs="Arial"/>
          <w:i/>
          <w:color w:val="000000" w:themeColor="text1"/>
          <w:spacing w:val="-4"/>
          <w:sz w:val="24"/>
          <w:szCs w:val="24"/>
        </w:rPr>
      </w:pPr>
      <w:r w:rsidRPr="00046EA5">
        <w:rPr>
          <w:rFonts w:ascii="Century Gothic" w:hAnsi="Century Gothic" w:cs="Arial"/>
          <w:i/>
          <w:color w:val="000000" w:themeColor="text1"/>
          <w:spacing w:val="-4"/>
          <w:sz w:val="24"/>
          <w:szCs w:val="24"/>
        </w:rPr>
        <w:t>24.2 El porcentaje indicado en el numeral anterior se adicionará en un cuatro por ciento (4%) por cada año que exceda de los dieciocho (18) hasta los veinticuatro (24) años, sin sobrepasar el ochenta y cinco por ciento (85%).</w:t>
      </w:r>
    </w:p>
    <w:p w:rsidR="009E157D" w:rsidRPr="00046EA5" w:rsidRDefault="009E157D" w:rsidP="006B765D">
      <w:pPr>
        <w:spacing w:after="0" w:line="384" w:lineRule="auto"/>
        <w:ind w:left="397"/>
        <w:jc w:val="both"/>
        <w:rPr>
          <w:rFonts w:ascii="Century Gothic" w:hAnsi="Century Gothic" w:cs="Arial"/>
          <w:i/>
          <w:color w:val="000000" w:themeColor="text1"/>
          <w:spacing w:val="-4"/>
          <w:sz w:val="24"/>
          <w:szCs w:val="24"/>
        </w:rPr>
      </w:pPr>
    </w:p>
    <w:p w:rsidR="006B765D" w:rsidRDefault="009E157D" w:rsidP="006B765D">
      <w:pPr>
        <w:spacing w:after="0" w:line="384" w:lineRule="auto"/>
        <w:ind w:left="397"/>
        <w:jc w:val="both"/>
        <w:rPr>
          <w:rFonts w:ascii="Century Gothic" w:hAnsi="Century Gothic" w:cs="Arial"/>
          <w:i/>
          <w:color w:val="000000" w:themeColor="text1"/>
          <w:spacing w:val="-4"/>
          <w:sz w:val="24"/>
          <w:szCs w:val="24"/>
        </w:rPr>
      </w:pPr>
      <w:r w:rsidRPr="00046EA5">
        <w:rPr>
          <w:rFonts w:ascii="Century Gothic" w:hAnsi="Century Gothic" w:cs="Arial"/>
          <w:i/>
          <w:color w:val="000000" w:themeColor="text1"/>
          <w:spacing w:val="-4"/>
          <w:sz w:val="24"/>
          <w:szCs w:val="24"/>
        </w:rPr>
        <w:lastRenderedPageBreak/>
        <w:t>24.3 A su vez, el ochenta y cinco por ciento (85%) de que trata el numeral anterior se adicionará en un dos por ciento (2%) por cada año, sin que el total sobrepase el noventa y cinco por ciento (95%) de las partidas computables.</w:t>
      </w:r>
    </w:p>
    <w:p w:rsidR="00D7646D" w:rsidRPr="00046EA5" w:rsidRDefault="00D7646D" w:rsidP="006B765D">
      <w:pPr>
        <w:spacing w:after="0" w:line="384" w:lineRule="auto"/>
        <w:ind w:left="397"/>
        <w:jc w:val="both"/>
        <w:rPr>
          <w:rFonts w:ascii="Century Gothic" w:hAnsi="Century Gothic" w:cs="Arial"/>
          <w:bCs/>
          <w:i/>
          <w:color w:val="000000" w:themeColor="text1"/>
          <w:spacing w:val="-4"/>
          <w:sz w:val="24"/>
          <w:szCs w:val="24"/>
        </w:rPr>
      </w:pPr>
    </w:p>
    <w:p w:rsidR="009E157D" w:rsidRPr="00046EA5" w:rsidRDefault="009E157D" w:rsidP="006B765D">
      <w:pPr>
        <w:spacing w:after="0" w:line="384" w:lineRule="auto"/>
        <w:ind w:left="397"/>
        <w:jc w:val="both"/>
        <w:rPr>
          <w:rFonts w:ascii="Century Gothic" w:hAnsi="Century Gothic" w:cs="Arial"/>
          <w:i/>
          <w:color w:val="000000" w:themeColor="text1"/>
          <w:spacing w:val="-4"/>
          <w:sz w:val="24"/>
          <w:szCs w:val="24"/>
        </w:rPr>
      </w:pPr>
      <w:r w:rsidRPr="00046EA5">
        <w:rPr>
          <w:rFonts w:ascii="Century Gothic" w:hAnsi="Century Gothic" w:cs="Arial"/>
          <w:bCs/>
          <w:i/>
          <w:color w:val="000000" w:themeColor="text1"/>
          <w:spacing w:val="-4"/>
          <w:sz w:val="24"/>
          <w:szCs w:val="24"/>
        </w:rPr>
        <w:t>Parágrafo 1</w:t>
      </w:r>
      <w:r w:rsidRPr="00046EA5">
        <w:rPr>
          <w:rFonts w:ascii="Century Gothic" w:hAnsi="Century Gothic" w:cs="Arial"/>
          <w:i/>
          <w:color w:val="000000" w:themeColor="text1"/>
          <w:spacing w:val="-4"/>
          <w:sz w:val="24"/>
          <w:szCs w:val="24"/>
        </w:rPr>
        <w:t>°. Los Oficiales, Suboficiales y Agentes de la Policía Nacional que a la fecha de entrada en vigencia del presente decreto, tuvieren quince (15) o más años de servicio, que sean retirados por llamamiento a calificar servicios, por disminución de la capacidad psicofísica, o por voluntad del Gobierno o de la Dirección General de la Policía Nacional, según corresponda, tendrán derecho a partir de la fecha en que terminen los tres (3) meses de alta, a que por la Caja de Sueldos de Retiro de la Policía Nacional, se les pague una asignación mensual de retiro, así:</w:t>
      </w:r>
    </w:p>
    <w:p w:rsidR="009E157D" w:rsidRPr="00046EA5" w:rsidRDefault="009E157D" w:rsidP="006B765D">
      <w:pPr>
        <w:spacing w:after="0" w:line="384" w:lineRule="auto"/>
        <w:ind w:left="397"/>
        <w:jc w:val="both"/>
        <w:rPr>
          <w:rFonts w:ascii="Century Gothic" w:hAnsi="Century Gothic" w:cs="Arial"/>
          <w:i/>
          <w:color w:val="000000" w:themeColor="text1"/>
          <w:spacing w:val="-4"/>
          <w:sz w:val="24"/>
          <w:szCs w:val="24"/>
        </w:rPr>
      </w:pPr>
    </w:p>
    <w:p w:rsidR="009E157D" w:rsidRPr="00046EA5" w:rsidRDefault="009E157D" w:rsidP="006B765D">
      <w:pPr>
        <w:spacing w:after="0" w:line="384" w:lineRule="auto"/>
        <w:ind w:left="397"/>
        <w:jc w:val="both"/>
        <w:rPr>
          <w:rFonts w:ascii="Century Gothic" w:hAnsi="Century Gothic" w:cs="Arial"/>
          <w:i/>
          <w:color w:val="000000" w:themeColor="text1"/>
          <w:spacing w:val="-4"/>
          <w:sz w:val="24"/>
          <w:szCs w:val="24"/>
        </w:rPr>
      </w:pPr>
      <w:r w:rsidRPr="00046EA5">
        <w:rPr>
          <w:rFonts w:ascii="Century Gothic" w:hAnsi="Century Gothic" w:cs="Arial"/>
          <w:i/>
          <w:color w:val="000000" w:themeColor="text1"/>
          <w:spacing w:val="-4"/>
          <w:sz w:val="24"/>
          <w:szCs w:val="24"/>
        </w:rPr>
        <w:t>El cincuenta por ciento (50%) del monto de las partidas computables a que se refiere el artículo 23 del presente decreto, por los quince (15) primeros años de servicio, y un cuatro por ciento (4%) más por cada año que exceda de los quince (15) hasta los veinticuatro (24) años, sin sobrepasar el ochenta y cinco por ciento (85%).</w:t>
      </w:r>
    </w:p>
    <w:p w:rsidR="009E157D" w:rsidRPr="00046EA5" w:rsidRDefault="009E157D" w:rsidP="006B765D">
      <w:pPr>
        <w:spacing w:after="0" w:line="384" w:lineRule="auto"/>
        <w:ind w:left="397"/>
        <w:jc w:val="both"/>
        <w:rPr>
          <w:rFonts w:ascii="Century Gothic" w:hAnsi="Century Gothic" w:cs="Arial"/>
          <w:i/>
          <w:color w:val="000000" w:themeColor="text1"/>
          <w:spacing w:val="-4"/>
          <w:sz w:val="24"/>
          <w:szCs w:val="24"/>
        </w:rPr>
      </w:pPr>
    </w:p>
    <w:p w:rsidR="009E157D" w:rsidRPr="00046EA5" w:rsidRDefault="009E157D" w:rsidP="006B765D">
      <w:pPr>
        <w:spacing w:after="0" w:line="384" w:lineRule="auto"/>
        <w:ind w:left="397"/>
        <w:jc w:val="both"/>
        <w:rPr>
          <w:rFonts w:ascii="Century Gothic" w:hAnsi="Century Gothic" w:cs="Arial"/>
          <w:i/>
          <w:color w:val="000000" w:themeColor="text1"/>
          <w:spacing w:val="-4"/>
          <w:sz w:val="24"/>
          <w:szCs w:val="24"/>
        </w:rPr>
      </w:pPr>
      <w:r w:rsidRPr="00046EA5">
        <w:rPr>
          <w:rFonts w:ascii="Century Gothic" w:hAnsi="Century Gothic" w:cs="Arial"/>
          <w:i/>
          <w:color w:val="000000" w:themeColor="text1"/>
          <w:spacing w:val="-4"/>
          <w:sz w:val="24"/>
          <w:szCs w:val="24"/>
        </w:rPr>
        <w:t>A su vez, el ochenta y cinco por ciento (85%) de que trata el inciso anterior se incrementará en un dos por ciento (2%) por cada año adicional a los primeros veinticuatro (24) años, sin que el total sobrepase el noventa y cinco por ciento (95%) de las partidas computables. […]”</w:t>
      </w:r>
    </w:p>
    <w:p w:rsidR="009E157D" w:rsidRPr="00046EA5" w:rsidRDefault="009E157D" w:rsidP="006B765D">
      <w:pPr>
        <w:spacing w:after="0" w:line="384" w:lineRule="auto"/>
        <w:jc w:val="both"/>
        <w:rPr>
          <w:rFonts w:ascii="Century Gothic" w:hAnsi="Century Gothic" w:cs="Arial"/>
          <w:color w:val="000000" w:themeColor="text1"/>
          <w:spacing w:val="-4"/>
          <w:sz w:val="24"/>
          <w:szCs w:val="24"/>
          <w:lang w:val="es-ES"/>
        </w:rPr>
      </w:pPr>
      <w:r w:rsidRPr="00046EA5">
        <w:rPr>
          <w:rFonts w:ascii="Century Gothic" w:hAnsi="Century Gothic" w:cs="Arial"/>
          <w:color w:val="000000" w:themeColor="text1"/>
          <w:spacing w:val="-4"/>
          <w:sz w:val="24"/>
          <w:szCs w:val="24"/>
          <w:lang w:val="es-ES"/>
        </w:rPr>
        <w:lastRenderedPageBreak/>
        <w:t xml:space="preserve">De acuerdo </w:t>
      </w:r>
      <w:r w:rsidR="00A40890">
        <w:rPr>
          <w:rFonts w:ascii="Century Gothic" w:hAnsi="Century Gothic" w:cs="Arial"/>
          <w:color w:val="000000" w:themeColor="text1"/>
          <w:spacing w:val="-4"/>
          <w:sz w:val="24"/>
          <w:szCs w:val="24"/>
          <w:lang w:val="es-ES"/>
        </w:rPr>
        <w:t>con</w:t>
      </w:r>
      <w:r w:rsidRPr="00046EA5">
        <w:rPr>
          <w:rFonts w:ascii="Century Gothic" w:hAnsi="Century Gothic" w:cs="Arial"/>
          <w:color w:val="000000" w:themeColor="text1"/>
          <w:spacing w:val="-4"/>
          <w:sz w:val="24"/>
          <w:szCs w:val="24"/>
          <w:lang w:val="es-ES"/>
        </w:rPr>
        <w:t xml:space="preserve"> estos preceptos, la escala que se establece hace relación a los porcentajes aplicados a la base salarial ya integrada por las partidas que sean computables según el caso, es decir, que sólo varió el porcentaje a aplicar sobre el salario base de liquidación de las asignaciones de retiro; no contempló específicamente una escala porcentual aplicable a la prima de actividad como partida de cómputo en la base liquidatoria de la asignación de retiro en función del tiempo de servicio, como lo hiciera el artículo 101 Decreto 1213 de 1990, para el personal de agentes de la Policía Nacional. </w:t>
      </w:r>
    </w:p>
    <w:p w:rsidR="009E157D" w:rsidRPr="00046EA5" w:rsidRDefault="009E157D" w:rsidP="006B765D">
      <w:pPr>
        <w:spacing w:after="0" w:line="384" w:lineRule="auto"/>
        <w:jc w:val="both"/>
        <w:rPr>
          <w:rFonts w:ascii="Century Gothic" w:hAnsi="Century Gothic" w:cs="Arial"/>
          <w:color w:val="000000" w:themeColor="text1"/>
          <w:spacing w:val="-4"/>
          <w:sz w:val="24"/>
          <w:szCs w:val="24"/>
          <w:lang w:val="es-ES"/>
        </w:rPr>
      </w:pPr>
    </w:p>
    <w:p w:rsidR="009E157D" w:rsidRPr="00046EA5" w:rsidRDefault="009E157D" w:rsidP="006B765D">
      <w:pPr>
        <w:spacing w:after="0" w:line="384" w:lineRule="auto"/>
        <w:jc w:val="both"/>
        <w:rPr>
          <w:rFonts w:ascii="Century Gothic" w:hAnsi="Century Gothic" w:cs="Arial"/>
          <w:color w:val="000000" w:themeColor="text1"/>
          <w:spacing w:val="-4"/>
          <w:sz w:val="24"/>
          <w:szCs w:val="24"/>
          <w:lang w:val="es-ES"/>
        </w:rPr>
      </w:pPr>
      <w:r w:rsidRPr="00046EA5">
        <w:rPr>
          <w:rFonts w:ascii="Century Gothic" w:hAnsi="Century Gothic" w:cs="Arial"/>
          <w:color w:val="000000" w:themeColor="text1"/>
          <w:spacing w:val="-4"/>
          <w:sz w:val="24"/>
          <w:szCs w:val="24"/>
          <w:lang w:val="es-ES"/>
        </w:rPr>
        <w:t xml:space="preserve">También reguló el Decreto 4433 de 2004 el principio de oscilación, en los mismos términos que lo hiciera el Decreto 1213 de 1990: </w:t>
      </w:r>
    </w:p>
    <w:p w:rsidR="009E157D" w:rsidRPr="00046EA5" w:rsidRDefault="009E157D" w:rsidP="006B765D">
      <w:pPr>
        <w:spacing w:after="0" w:line="384" w:lineRule="auto"/>
        <w:jc w:val="both"/>
        <w:rPr>
          <w:rFonts w:ascii="Century Gothic" w:hAnsi="Century Gothic" w:cs="Arial"/>
          <w:color w:val="000000" w:themeColor="text1"/>
          <w:spacing w:val="-4"/>
          <w:sz w:val="24"/>
          <w:szCs w:val="24"/>
          <w:lang w:val="es-ES"/>
        </w:rPr>
      </w:pPr>
    </w:p>
    <w:p w:rsidR="009E157D" w:rsidRPr="00046EA5" w:rsidRDefault="009E157D" w:rsidP="006B765D">
      <w:pPr>
        <w:spacing w:after="0" w:line="384" w:lineRule="auto"/>
        <w:ind w:left="397"/>
        <w:jc w:val="both"/>
        <w:rPr>
          <w:rFonts w:ascii="Century Gothic" w:hAnsi="Century Gothic" w:cs="Arial"/>
          <w:color w:val="000000" w:themeColor="text1"/>
          <w:spacing w:val="-4"/>
          <w:sz w:val="24"/>
          <w:szCs w:val="24"/>
          <w:lang w:val="es-ES"/>
        </w:rPr>
      </w:pPr>
      <w:r w:rsidRPr="00046EA5">
        <w:rPr>
          <w:rFonts w:ascii="Century Gothic" w:hAnsi="Century Gothic" w:cs="Arial"/>
          <w:color w:val="000000" w:themeColor="text1"/>
          <w:spacing w:val="-4"/>
          <w:sz w:val="24"/>
          <w:szCs w:val="24"/>
          <w:lang w:val="es-ES"/>
        </w:rPr>
        <w:t xml:space="preserve">“Artículo 42. Oscilación de la asignación de retiro y de la pensión. Las asignaciones de retiro y las pensiones contempladas en el presente decreto, se incrementarán en el mismo porcentaje en que se aumenten las asignaciones en actividad para cada grado. En ningún caso las asignaciones de retiro o pensiones serán inferiores al salario mínimo legal mensual vigente. </w:t>
      </w:r>
    </w:p>
    <w:p w:rsidR="009E157D" w:rsidRPr="00046EA5" w:rsidRDefault="009E157D" w:rsidP="006B765D">
      <w:pPr>
        <w:spacing w:after="0" w:line="384" w:lineRule="auto"/>
        <w:ind w:left="397"/>
        <w:jc w:val="both"/>
        <w:rPr>
          <w:rFonts w:ascii="Century Gothic" w:hAnsi="Century Gothic" w:cs="Arial"/>
          <w:color w:val="000000" w:themeColor="text1"/>
          <w:spacing w:val="-4"/>
          <w:sz w:val="24"/>
          <w:szCs w:val="24"/>
          <w:lang w:val="es-ES"/>
        </w:rPr>
      </w:pPr>
    </w:p>
    <w:p w:rsidR="00B87084" w:rsidRPr="00046EA5" w:rsidRDefault="009E157D" w:rsidP="006B765D">
      <w:pPr>
        <w:spacing w:after="0" w:line="384" w:lineRule="auto"/>
        <w:jc w:val="both"/>
        <w:rPr>
          <w:rFonts w:ascii="Century Gothic" w:hAnsi="Century Gothic" w:cs="Arial"/>
          <w:bCs/>
          <w:color w:val="000000" w:themeColor="text1"/>
          <w:spacing w:val="-4"/>
          <w:sz w:val="24"/>
          <w:szCs w:val="24"/>
          <w:lang w:val="es-ES_tradnl"/>
        </w:rPr>
      </w:pPr>
      <w:r w:rsidRPr="00046EA5">
        <w:rPr>
          <w:rFonts w:ascii="Century Gothic" w:hAnsi="Century Gothic" w:cs="Arial"/>
          <w:bCs/>
          <w:color w:val="000000" w:themeColor="text1"/>
          <w:spacing w:val="-4"/>
          <w:sz w:val="24"/>
          <w:szCs w:val="24"/>
          <w:lang w:val="es-ES_tradnl"/>
        </w:rPr>
        <w:t xml:space="preserve">Es claro entonces que el Decreto 4433 de 2004 reguló la prima de actividad, pero considerada como factor salarial o partida computable en la base liquidatoria de la asignación de retiro de quienes a partir de su vigencia adquirieran el status de retirados con derecho a la asignación; por tanto, ningún efecto tuvo frente a la prima de actividad que como elemento de </w:t>
      </w:r>
      <w:r w:rsidRPr="00046EA5">
        <w:rPr>
          <w:rFonts w:ascii="Century Gothic" w:hAnsi="Century Gothic" w:cs="Arial"/>
          <w:bCs/>
          <w:color w:val="000000" w:themeColor="text1"/>
          <w:spacing w:val="-4"/>
          <w:sz w:val="24"/>
          <w:szCs w:val="24"/>
          <w:lang w:val="es-ES_tradnl"/>
        </w:rPr>
        <w:lastRenderedPageBreak/>
        <w:t xml:space="preserve">salario perciben quienes están en servicio activo, como no podía tenerlo si el decreto no establece reglas sobre asignación básica o elementos salariales del personal en actividad, aspectos éstos que son materia de decreto anual de salarios. De ahí que a pesar de la expedición del Decreto 4433, en materia de reconocimiento de la prima de actividad para el personal de agentes activos persistió la regla del Decreto 1213 de 1990 (artículo 101): un porcentaje del 30% aumentable en 5 puntos porcentuales por cada 5 años de servicio. </w:t>
      </w:r>
    </w:p>
    <w:p w:rsidR="00DF2249" w:rsidRPr="00046EA5" w:rsidRDefault="00DF2249" w:rsidP="006B765D">
      <w:pPr>
        <w:spacing w:after="0" w:line="384" w:lineRule="auto"/>
        <w:jc w:val="both"/>
        <w:rPr>
          <w:rFonts w:ascii="Century Gothic" w:hAnsi="Century Gothic" w:cs="Arial"/>
          <w:bCs/>
          <w:color w:val="000000" w:themeColor="text1"/>
          <w:spacing w:val="-4"/>
          <w:sz w:val="24"/>
          <w:szCs w:val="24"/>
          <w:lang w:val="es-ES_tradnl"/>
        </w:rPr>
      </w:pPr>
    </w:p>
    <w:p w:rsidR="00B87084" w:rsidRPr="00046EA5" w:rsidRDefault="00B87084" w:rsidP="006B765D">
      <w:pPr>
        <w:spacing w:after="0" w:line="384" w:lineRule="auto"/>
        <w:jc w:val="both"/>
        <w:rPr>
          <w:rFonts w:ascii="Century Gothic" w:hAnsi="Century Gothic" w:cs="Arial"/>
          <w:bCs/>
          <w:color w:val="000000" w:themeColor="text1"/>
          <w:spacing w:val="-4"/>
          <w:sz w:val="24"/>
          <w:szCs w:val="24"/>
          <w:lang w:val="es-ES_tradnl"/>
        </w:rPr>
      </w:pPr>
      <w:r w:rsidRPr="00046EA5">
        <w:rPr>
          <w:rFonts w:ascii="Century Gothic" w:hAnsi="Century Gothic" w:cs="Arial"/>
          <w:bCs/>
          <w:color w:val="000000" w:themeColor="text1"/>
          <w:spacing w:val="-4"/>
          <w:sz w:val="24"/>
          <w:szCs w:val="24"/>
          <w:lang w:val="es-ES_tradnl"/>
        </w:rPr>
        <w:t xml:space="preserve">Siguiendo un poco los antecedentes de esta prima, es menester hacer referencia a los cambios que desde el año 2007 se vienen adelantando y que son el fundamento principal para establecer el porcentaje de qué trata el artículo 2° de la presente ley. </w:t>
      </w:r>
    </w:p>
    <w:p w:rsidR="003B34FB" w:rsidRPr="00046EA5" w:rsidRDefault="00B87084" w:rsidP="006B765D">
      <w:pPr>
        <w:pStyle w:val="NormalWeb"/>
        <w:spacing w:line="384" w:lineRule="auto"/>
        <w:jc w:val="both"/>
        <w:rPr>
          <w:rFonts w:ascii="Century Gothic" w:hAnsi="Century Gothic" w:cs="Arial"/>
          <w:color w:val="000000" w:themeColor="text1"/>
        </w:rPr>
      </w:pPr>
      <w:r w:rsidRPr="00046EA5">
        <w:rPr>
          <w:rFonts w:ascii="Century Gothic" w:hAnsi="Century Gothic" w:cs="Arial"/>
          <w:bCs/>
          <w:color w:val="000000" w:themeColor="text1"/>
          <w:spacing w:val="-4"/>
          <w:lang w:val="es-ES_tradnl"/>
        </w:rPr>
        <w:t xml:space="preserve">El Decreto 1515 de 2007 </w:t>
      </w:r>
      <w:r w:rsidR="007D4076" w:rsidRPr="00046EA5">
        <w:rPr>
          <w:rFonts w:ascii="Century Gothic" w:hAnsi="Century Gothic" w:cs="Arial"/>
          <w:bCs/>
          <w:color w:val="000000" w:themeColor="text1"/>
          <w:spacing w:val="-4"/>
          <w:lang w:val="es-ES_tradnl"/>
        </w:rPr>
        <w:t>“</w:t>
      </w:r>
      <w:r w:rsidR="007D4076" w:rsidRPr="00046EA5">
        <w:rPr>
          <w:rFonts w:ascii="Century Gothic" w:hAnsi="Century Gothic" w:cs="Arial"/>
          <w:bCs/>
          <w:i/>
          <w:color w:val="000000" w:themeColor="text1"/>
          <w:spacing w:val="-4"/>
          <w:lang w:val="es-ES_tradnl"/>
        </w:rPr>
        <w:t>Por el cual se fijan los sueldos básicos para el personal de Oficiales y Suboficiales de las Fuerzas Militares; Oficiales, Suboficiales y Agentes de la Policía Nacional; Personal del Nivel Ejecutivo de la Policía Nacional, y Empleados Públicos del Ministerio de Defensa, las Fuerzas Militares y la Policía Nacional; se establecen bonificaciones para Alféreces, Guardiamarinas, Pilotines, Grumetes y Soldados, se modifican las comisiones y se dictan otras disposiciones en materia salarial”</w:t>
      </w:r>
      <w:r w:rsidR="007D4076" w:rsidRPr="00046EA5">
        <w:rPr>
          <w:rFonts w:ascii="Century Gothic" w:hAnsi="Century Gothic" w:cs="Arial"/>
          <w:b/>
          <w:bCs/>
          <w:color w:val="000000" w:themeColor="text1"/>
          <w:spacing w:val="-4"/>
          <w:lang w:val="es-ES_tradnl"/>
        </w:rPr>
        <w:t xml:space="preserve"> </w:t>
      </w:r>
      <w:r w:rsidR="007D4076" w:rsidRPr="00046EA5">
        <w:rPr>
          <w:rFonts w:ascii="Century Gothic" w:hAnsi="Century Gothic" w:cs="Arial"/>
          <w:bCs/>
          <w:color w:val="000000" w:themeColor="text1"/>
          <w:spacing w:val="-4"/>
          <w:lang w:val="es-ES_tradnl"/>
        </w:rPr>
        <w:t xml:space="preserve">en su </w:t>
      </w:r>
      <w:r w:rsidR="007D4076" w:rsidRPr="00046EA5">
        <w:rPr>
          <w:rFonts w:ascii="Century Gothic" w:eastAsia="Calibri" w:hAnsi="Century Gothic" w:cs="Arial"/>
          <w:bCs/>
          <w:color w:val="000000" w:themeColor="text1"/>
          <w:spacing w:val="-4"/>
          <w:lang w:val="es-ES_tradnl" w:eastAsia="en-US"/>
        </w:rPr>
        <w:t xml:space="preserve">artículo 32 </w:t>
      </w:r>
      <w:bookmarkStart w:id="2" w:name="32"/>
      <w:r w:rsidR="007D4076" w:rsidRPr="00046EA5">
        <w:rPr>
          <w:rFonts w:ascii="Century Gothic" w:eastAsia="Calibri" w:hAnsi="Century Gothic" w:cs="Arial"/>
          <w:bCs/>
          <w:color w:val="000000" w:themeColor="text1"/>
          <w:spacing w:val="-4"/>
          <w:lang w:val="es-ES_tradnl" w:eastAsia="en-US"/>
        </w:rPr>
        <w:t>modificado por el artículo 2° del Decreto 2863 de 2007</w:t>
      </w:r>
      <w:r w:rsidR="00885026" w:rsidRPr="00046EA5">
        <w:rPr>
          <w:rStyle w:val="Refdenotaalpie"/>
          <w:rFonts w:ascii="Century Gothic" w:eastAsia="Calibri" w:hAnsi="Century Gothic"/>
          <w:bCs/>
          <w:color w:val="000000" w:themeColor="text1"/>
          <w:spacing w:val="-4"/>
          <w:lang w:val="es-ES_tradnl" w:eastAsia="en-US"/>
        </w:rPr>
        <w:footnoteReference w:id="4"/>
      </w:r>
      <w:r w:rsidR="007D4076" w:rsidRPr="00046EA5">
        <w:rPr>
          <w:rFonts w:ascii="Century Gothic" w:eastAsia="Calibri" w:hAnsi="Century Gothic" w:cs="Arial"/>
          <w:bCs/>
          <w:color w:val="000000" w:themeColor="text1"/>
          <w:spacing w:val="-4"/>
          <w:lang w:val="es-ES_tradnl" w:eastAsia="en-US"/>
        </w:rPr>
        <w:t xml:space="preserve"> incrementó en un 50% </w:t>
      </w:r>
      <w:r w:rsidR="007D4076" w:rsidRPr="00046EA5">
        <w:rPr>
          <w:rFonts w:ascii="Century Gothic" w:eastAsia="Calibri" w:hAnsi="Century Gothic" w:cs="Arial"/>
          <w:bCs/>
          <w:color w:val="000000" w:themeColor="text1"/>
          <w:spacing w:val="-4"/>
          <w:lang w:val="es-ES_tradnl" w:eastAsia="en-US"/>
        </w:rPr>
        <w:lastRenderedPageBreak/>
        <w:t>a partir del 1 de julio de 2007 el porcentaje de la prima de actividad de que tratan los artículos </w:t>
      </w:r>
      <w:hyperlink r:id="rId11" w:anchor="84" w:history="1">
        <w:r w:rsidR="007D4076" w:rsidRPr="00046EA5">
          <w:rPr>
            <w:rFonts w:ascii="Century Gothic" w:eastAsia="Calibri" w:hAnsi="Century Gothic"/>
            <w:bCs/>
            <w:color w:val="000000" w:themeColor="text1"/>
            <w:spacing w:val="-4"/>
            <w:lang w:val="es-ES_tradnl" w:eastAsia="en-US"/>
          </w:rPr>
          <w:t>84</w:t>
        </w:r>
      </w:hyperlink>
      <w:r w:rsidR="007D4076" w:rsidRPr="00046EA5">
        <w:rPr>
          <w:rFonts w:ascii="Century Gothic" w:eastAsia="Calibri" w:hAnsi="Century Gothic" w:cs="Arial"/>
          <w:bCs/>
          <w:color w:val="000000" w:themeColor="text1"/>
          <w:spacing w:val="-4"/>
          <w:lang w:val="es-ES_tradnl" w:eastAsia="en-US"/>
        </w:rPr>
        <w:t> del Decreto-ley 1211 de 1990, </w:t>
      </w:r>
      <w:hyperlink r:id="rId12" w:anchor="68" w:history="1">
        <w:r w:rsidR="007D4076" w:rsidRPr="00046EA5">
          <w:rPr>
            <w:rFonts w:ascii="Century Gothic" w:eastAsia="Calibri" w:hAnsi="Century Gothic"/>
            <w:bCs/>
            <w:color w:val="000000" w:themeColor="text1"/>
            <w:spacing w:val="-4"/>
            <w:lang w:val="es-ES_tradnl" w:eastAsia="en-US"/>
          </w:rPr>
          <w:t>68</w:t>
        </w:r>
      </w:hyperlink>
      <w:r w:rsidR="007D4076" w:rsidRPr="00046EA5">
        <w:rPr>
          <w:rFonts w:ascii="Century Gothic" w:eastAsia="Calibri" w:hAnsi="Century Gothic" w:cs="Arial"/>
          <w:bCs/>
          <w:color w:val="000000" w:themeColor="text1"/>
          <w:spacing w:val="-4"/>
          <w:lang w:val="es-ES_tradnl" w:eastAsia="en-US"/>
        </w:rPr>
        <w:t> del Decreto-ley 1212 de 1990 y </w:t>
      </w:r>
      <w:hyperlink r:id="rId13" w:anchor="38" w:history="1">
        <w:r w:rsidR="007D4076" w:rsidRPr="00046EA5">
          <w:rPr>
            <w:rFonts w:ascii="Century Gothic" w:eastAsia="Calibri" w:hAnsi="Century Gothic"/>
            <w:bCs/>
            <w:color w:val="000000" w:themeColor="text1"/>
            <w:spacing w:val="-4"/>
            <w:lang w:val="es-ES_tradnl" w:eastAsia="en-US"/>
          </w:rPr>
          <w:t>38</w:t>
        </w:r>
      </w:hyperlink>
      <w:r w:rsidR="007D4076" w:rsidRPr="00046EA5">
        <w:rPr>
          <w:rFonts w:ascii="Century Gothic" w:eastAsia="Calibri" w:hAnsi="Century Gothic" w:cs="Arial"/>
          <w:bCs/>
          <w:color w:val="000000" w:themeColor="text1"/>
          <w:spacing w:val="-4"/>
          <w:lang w:val="es-ES_tradnl" w:eastAsia="en-US"/>
        </w:rPr>
        <w:t> del Decreto-ley 1214 de 1990. Deposición que dejó por fuera a los Agente de la Policía Nacional, quienes se rigen por el Decreto 1213 de 1990 y que no fueron cobijados por este incremento, siendo excluidos de tal beneficio</w:t>
      </w:r>
      <w:r w:rsidR="003B34FB" w:rsidRPr="00046EA5">
        <w:rPr>
          <w:rFonts w:ascii="Century Gothic" w:eastAsia="Calibri" w:hAnsi="Century Gothic" w:cs="Arial"/>
          <w:bCs/>
          <w:color w:val="000000" w:themeColor="text1"/>
          <w:spacing w:val="-4"/>
          <w:lang w:val="es-ES_tradnl" w:eastAsia="en-US"/>
        </w:rPr>
        <w:t xml:space="preserve">, amparando a: </w:t>
      </w:r>
      <w:r w:rsidR="003B34FB" w:rsidRPr="00046EA5">
        <w:rPr>
          <w:rFonts w:ascii="Century Gothic" w:hAnsi="Century Gothic" w:cs="Arial"/>
          <w:color w:val="000000" w:themeColor="text1"/>
        </w:rPr>
        <w:t xml:space="preserve">Los Oficiales y Suboficiales de las Fuerzas Militares en servicio activo  (artículo 84 del Decreto 1211 de 1990); Los Oficiales y Suboficiales de la Policía Nacional, en servicio activo (artículo 68 del Decreto 1212 de 1990); y por último,  Los empleados públicos del Ministerio de Defensa y de la Policía Nacional (artículo 38 del Decreto 1214 de 1990). </w:t>
      </w:r>
    </w:p>
    <w:p w:rsidR="00F14690" w:rsidRPr="00046EA5" w:rsidRDefault="00135304" w:rsidP="006B765D">
      <w:pPr>
        <w:pStyle w:val="NormalWeb"/>
        <w:spacing w:line="384" w:lineRule="auto"/>
        <w:jc w:val="both"/>
        <w:rPr>
          <w:rFonts w:ascii="Century Gothic" w:hAnsi="Century Gothic" w:cs="Arial"/>
          <w:color w:val="000000" w:themeColor="text1"/>
        </w:rPr>
      </w:pPr>
      <w:r w:rsidRPr="00046EA5">
        <w:rPr>
          <w:rFonts w:ascii="Century Gothic" w:eastAsia="Calibri" w:hAnsi="Century Gothic" w:cs="Arial"/>
          <w:bCs/>
          <w:color w:val="000000" w:themeColor="text1"/>
          <w:spacing w:val="-4"/>
          <w:lang w:val="es-ES_tradnl" w:eastAsia="en-US"/>
        </w:rPr>
        <w:t xml:space="preserve">Disposición que fue </w:t>
      </w:r>
      <w:r w:rsidR="003B34FB" w:rsidRPr="00046EA5">
        <w:rPr>
          <w:rFonts w:ascii="Century Gothic" w:eastAsia="Calibri" w:hAnsi="Century Gothic" w:cs="Arial"/>
          <w:bCs/>
          <w:color w:val="000000" w:themeColor="text1"/>
          <w:spacing w:val="-4"/>
          <w:lang w:val="es-ES_tradnl" w:eastAsia="en-US"/>
        </w:rPr>
        <w:t>posteriorme</w:t>
      </w:r>
      <w:r w:rsidRPr="00046EA5">
        <w:rPr>
          <w:rFonts w:ascii="Century Gothic" w:eastAsia="Calibri" w:hAnsi="Century Gothic" w:cs="Arial"/>
          <w:bCs/>
          <w:color w:val="000000" w:themeColor="text1"/>
          <w:spacing w:val="-4"/>
          <w:lang w:val="es-ES_tradnl" w:eastAsia="en-US"/>
        </w:rPr>
        <w:t xml:space="preserve">nte </w:t>
      </w:r>
      <w:r w:rsidR="00183862" w:rsidRPr="00046EA5">
        <w:rPr>
          <w:rFonts w:ascii="Century Gothic" w:eastAsia="Calibri" w:hAnsi="Century Gothic" w:cs="Arial"/>
          <w:bCs/>
          <w:color w:val="000000" w:themeColor="text1"/>
          <w:spacing w:val="-4"/>
          <w:lang w:val="es-ES_tradnl" w:eastAsia="en-US"/>
        </w:rPr>
        <w:t>derogada</w:t>
      </w:r>
      <w:r w:rsidR="003B34FB" w:rsidRPr="00046EA5">
        <w:rPr>
          <w:rFonts w:ascii="Century Gothic" w:eastAsia="Calibri" w:hAnsi="Century Gothic" w:cs="Arial"/>
          <w:bCs/>
          <w:color w:val="000000" w:themeColor="text1"/>
          <w:spacing w:val="-4"/>
          <w:lang w:val="es-ES_tradnl" w:eastAsia="en-US"/>
        </w:rPr>
        <w:t xml:space="preserve"> por el </w:t>
      </w:r>
      <w:r w:rsidR="003B34FB" w:rsidRPr="00046EA5">
        <w:rPr>
          <w:rFonts w:ascii="Century Gothic" w:hAnsi="Century Gothic" w:cs="Arial"/>
          <w:color w:val="000000" w:themeColor="text1"/>
        </w:rPr>
        <w:t>artículo </w:t>
      </w:r>
      <w:r w:rsidRPr="00046EA5">
        <w:rPr>
          <w:rFonts w:ascii="Century Gothic" w:hAnsi="Century Gothic" w:cs="Arial"/>
          <w:color w:val="000000" w:themeColor="text1"/>
        </w:rPr>
        <w:t>37</w:t>
      </w:r>
      <w:r w:rsidR="003B34FB" w:rsidRPr="00046EA5">
        <w:rPr>
          <w:rFonts w:ascii="Century Gothic" w:hAnsi="Century Gothic" w:cs="Arial"/>
          <w:color w:val="000000" w:themeColor="text1"/>
        </w:rPr>
        <w:t> del Decreto 673 de 2008</w:t>
      </w:r>
      <w:r w:rsidRPr="00046EA5">
        <w:rPr>
          <w:rFonts w:ascii="Century Gothic" w:hAnsi="Century Gothic" w:cs="Arial"/>
          <w:color w:val="000000" w:themeColor="text1"/>
        </w:rPr>
        <w:t>, estableciendo</w:t>
      </w:r>
      <w:r w:rsidR="006C049C" w:rsidRPr="00046EA5">
        <w:rPr>
          <w:rFonts w:ascii="Century Gothic" w:hAnsi="Century Gothic" w:cs="Arial"/>
          <w:color w:val="000000" w:themeColor="text1"/>
        </w:rPr>
        <w:t xml:space="preserve"> un nuevo porcentaje</w:t>
      </w:r>
      <w:r w:rsidRPr="00046EA5">
        <w:rPr>
          <w:rFonts w:ascii="Century Gothic" w:hAnsi="Century Gothic" w:cs="Arial"/>
          <w:color w:val="000000" w:themeColor="text1"/>
        </w:rPr>
        <w:t>:</w:t>
      </w:r>
      <w:r w:rsidR="006C049C" w:rsidRPr="00046EA5">
        <w:rPr>
          <w:rFonts w:ascii="Century Gothic" w:hAnsi="Century Gothic" w:cs="Arial"/>
          <w:color w:val="000000" w:themeColor="text1"/>
        </w:rPr>
        <w:t xml:space="preserve"> </w:t>
      </w:r>
    </w:p>
    <w:p w:rsidR="00F14690" w:rsidRPr="00046EA5" w:rsidRDefault="00F14690" w:rsidP="006B765D">
      <w:pPr>
        <w:pStyle w:val="NormalWeb"/>
        <w:spacing w:line="384" w:lineRule="auto"/>
        <w:ind w:left="284"/>
        <w:jc w:val="both"/>
        <w:rPr>
          <w:rFonts w:ascii="Century Gothic" w:hAnsi="Century Gothic" w:cs="Arial"/>
          <w:i/>
          <w:color w:val="000000" w:themeColor="text1"/>
        </w:rPr>
      </w:pPr>
      <w:r w:rsidRPr="00046EA5">
        <w:rPr>
          <w:rFonts w:ascii="Century Gothic" w:hAnsi="Century Gothic" w:cs="Arial"/>
          <w:i/>
          <w:color w:val="000000" w:themeColor="text1"/>
        </w:rPr>
        <w:t>ARTÍCULO 31. La prima de actividad de que trata el artículo 38 del Decreto 1214 de 1990, los artículos 84 del Decreto-ley 1211 de 1990, 68 del Decreto-ley 1212 de 1990, será del cuarenta y nueve punto cinco por ciento (49.5%).</w:t>
      </w:r>
    </w:p>
    <w:p w:rsidR="00F14690" w:rsidRPr="00046EA5" w:rsidRDefault="00F14690" w:rsidP="006B765D">
      <w:pPr>
        <w:pStyle w:val="NormalWeb"/>
        <w:spacing w:line="384" w:lineRule="auto"/>
        <w:ind w:left="284"/>
        <w:jc w:val="both"/>
        <w:rPr>
          <w:rFonts w:ascii="Century Gothic" w:hAnsi="Century Gothic" w:cs="Arial"/>
          <w:i/>
          <w:color w:val="000000" w:themeColor="text1"/>
        </w:rPr>
      </w:pPr>
      <w:r w:rsidRPr="00046EA5">
        <w:rPr>
          <w:rFonts w:ascii="Century Gothic" w:hAnsi="Century Gothic" w:cs="Arial"/>
          <w:i/>
          <w:color w:val="000000" w:themeColor="text1"/>
        </w:rPr>
        <w:t xml:space="preserve">Para el cómputo de esta prima en las prestaciones sociales, diferentes a la asignación de retiro o pensión, de que tratan los artículos 159 del Decreto-ley 1211 de 1990 y 141 del Decreto-ley 1212 de 1990, se ajustará </w:t>
      </w:r>
      <w:r w:rsidRPr="00046EA5">
        <w:rPr>
          <w:rFonts w:ascii="Century Gothic" w:hAnsi="Century Gothic" w:cs="Arial"/>
          <w:i/>
          <w:color w:val="000000" w:themeColor="text1"/>
        </w:rPr>
        <w:lastRenderedPageBreak/>
        <w:t>el porcentaje a que se tenga derecho según el tiempo de servicio en el cincuenta por ciento (50%).</w:t>
      </w:r>
      <w:r w:rsidR="00135304" w:rsidRPr="00046EA5">
        <w:rPr>
          <w:rFonts w:ascii="Century Gothic" w:hAnsi="Century Gothic" w:cs="Arial"/>
          <w:i/>
          <w:color w:val="000000" w:themeColor="text1"/>
        </w:rPr>
        <w:t xml:space="preserve"> </w:t>
      </w:r>
      <w:r w:rsidR="00183862" w:rsidRPr="00046EA5">
        <w:rPr>
          <w:rFonts w:ascii="Century Gothic" w:hAnsi="Century Gothic" w:cs="Arial"/>
          <w:i/>
          <w:color w:val="000000" w:themeColor="text1"/>
        </w:rPr>
        <w:t xml:space="preserve"> </w:t>
      </w:r>
    </w:p>
    <w:p w:rsidR="00F14690" w:rsidRPr="00046EA5" w:rsidRDefault="00F14690" w:rsidP="006B765D">
      <w:pPr>
        <w:pStyle w:val="NormalWeb"/>
        <w:spacing w:line="384" w:lineRule="auto"/>
        <w:jc w:val="both"/>
        <w:rPr>
          <w:rFonts w:ascii="Century Gothic" w:hAnsi="Century Gothic" w:cs="Arial"/>
          <w:color w:val="000000" w:themeColor="text1"/>
        </w:rPr>
      </w:pPr>
      <w:r w:rsidRPr="00046EA5">
        <w:rPr>
          <w:rFonts w:ascii="Century Gothic" w:hAnsi="Century Gothic" w:cs="Arial"/>
          <w:color w:val="000000" w:themeColor="text1"/>
        </w:rPr>
        <w:t xml:space="preserve">Posteriormente, el Decreto fue derogado por el artículo 38 del Decreto 737 de 2009, que en la materia mantuvo el porcentaje de cuarenta y nueve punto cinco por ciento (49.5%), así: </w:t>
      </w:r>
    </w:p>
    <w:p w:rsidR="00F62B31" w:rsidRPr="00046EA5" w:rsidRDefault="00F62B31" w:rsidP="006B765D">
      <w:pPr>
        <w:pStyle w:val="NormalWeb"/>
        <w:spacing w:line="384" w:lineRule="auto"/>
        <w:ind w:left="284"/>
        <w:jc w:val="both"/>
        <w:rPr>
          <w:rFonts w:ascii="Century Gothic" w:hAnsi="Century Gothic" w:cs="Arial"/>
          <w:i/>
          <w:color w:val="000000" w:themeColor="text1"/>
        </w:rPr>
      </w:pPr>
      <w:r w:rsidRPr="00046EA5">
        <w:rPr>
          <w:rFonts w:ascii="Century Gothic" w:hAnsi="Century Gothic" w:cs="Arial"/>
          <w:i/>
          <w:color w:val="000000" w:themeColor="text1"/>
        </w:rPr>
        <w:t>ARTÍCULO 30. La prima de actividad de que trata el artículo 38 del Decreto 1214 de 1990, los artículos 84 del Decreto-ley 1211 de 1990, 68 del Decreto-ley 1212 de 1990, será del cuarenta y nueve punto cinco por ciento (49.5%).</w:t>
      </w:r>
    </w:p>
    <w:p w:rsidR="00F14690" w:rsidRPr="00046EA5" w:rsidRDefault="00F62B31" w:rsidP="006B765D">
      <w:pPr>
        <w:pStyle w:val="NormalWeb"/>
        <w:spacing w:line="384" w:lineRule="auto"/>
        <w:ind w:left="284"/>
        <w:jc w:val="both"/>
        <w:rPr>
          <w:rFonts w:ascii="Century Gothic" w:hAnsi="Century Gothic" w:cs="Arial"/>
          <w:i/>
          <w:color w:val="000000" w:themeColor="text1"/>
        </w:rPr>
      </w:pPr>
      <w:r w:rsidRPr="00046EA5">
        <w:rPr>
          <w:rFonts w:ascii="Century Gothic" w:hAnsi="Century Gothic" w:cs="Arial"/>
          <w:i/>
          <w:color w:val="000000" w:themeColor="text1"/>
        </w:rPr>
        <w:t>Para el cómputo de esta prima en las prestaciones sociales, diferentes a la asignación de retiro o pensión, de que tratan los artículos 159 del Decreto-ley 1211 de 1990 y 141 del Decreto-ley 1212 de 1990, se ajustará el porcentaje a que se tenga derecho según el tiempo de servicio en el cincuenta por ciento (50%).</w:t>
      </w:r>
    </w:p>
    <w:p w:rsidR="00F14690" w:rsidRPr="00046EA5" w:rsidRDefault="00F62B31" w:rsidP="006B765D">
      <w:pPr>
        <w:pStyle w:val="NormalWeb"/>
        <w:spacing w:line="384" w:lineRule="auto"/>
        <w:jc w:val="both"/>
        <w:rPr>
          <w:rFonts w:ascii="Century Gothic" w:hAnsi="Century Gothic" w:cs="Arial"/>
          <w:color w:val="000000" w:themeColor="text1"/>
        </w:rPr>
      </w:pPr>
      <w:r w:rsidRPr="00046EA5">
        <w:rPr>
          <w:rFonts w:ascii="Century Gothic" w:hAnsi="Century Gothic" w:cs="Arial"/>
          <w:color w:val="000000" w:themeColor="text1"/>
        </w:rPr>
        <w:t xml:space="preserve">Artículo derogado por el artículo 39 del Decreto 1530 de 2010, el cual en su artículo 30 consagró: </w:t>
      </w:r>
    </w:p>
    <w:p w:rsidR="00F62B31" w:rsidRPr="00046EA5" w:rsidRDefault="00F62B31" w:rsidP="006B765D">
      <w:pPr>
        <w:pStyle w:val="NormalWeb"/>
        <w:spacing w:line="384" w:lineRule="auto"/>
        <w:ind w:left="284"/>
        <w:jc w:val="both"/>
        <w:rPr>
          <w:rFonts w:ascii="Century Gothic" w:hAnsi="Century Gothic" w:cs="Arial"/>
          <w:i/>
          <w:color w:val="000000" w:themeColor="text1"/>
        </w:rPr>
      </w:pPr>
      <w:r w:rsidRPr="00046EA5">
        <w:rPr>
          <w:rFonts w:ascii="Century Gothic" w:hAnsi="Century Gothic" w:cs="Arial"/>
          <w:i/>
          <w:color w:val="000000" w:themeColor="text1"/>
        </w:rPr>
        <w:t xml:space="preserve">ARTÍCULO 30. La prima de actividad de que trata el artículo 38 del Decreto 1214 de 1990, los artículos 84 del Decreto-Ley 1211 de 1990 y 68 del Decreto-Ley 1212 de 1990 será del cuarenta y nueve punto cinco por ciento (49.5%). </w:t>
      </w:r>
    </w:p>
    <w:p w:rsidR="00F62B31" w:rsidRPr="00046EA5" w:rsidRDefault="00F62B31" w:rsidP="006B765D">
      <w:pPr>
        <w:pStyle w:val="NormalWeb"/>
        <w:spacing w:line="384" w:lineRule="auto"/>
        <w:ind w:left="284"/>
        <w:jc w:val="both"/>
        <w:rPr>
          <w:rFonts w:ascii="Century Gothic" w:hAnsi="Century Gothic" w:cs="Arial"/>
          <w:i/>
          <w:color w:val="000000" w:themeColor="text1"/>
        </w:rPr>
      </w:pPr>
      <w:r w:rsidRPr="00046EA5">
        <w:rPr>
          <w:rFonts w:ascii="Century Gothic" w:hAnsi="Century Gothic" w:cs="Arial"/>
          <w:i/>
          <w:color w:val="000000" w:themeColor="text1"/>
        </w:rPr>
        <w:lastRenderedPageBreak/>
        <w:t>Para el cómputo de esta prima en las prestaciones sociales, diferentes a la asignación de retiro o pensión, de que tratan los artículos 159 del Decreto-Ley 1211 de 1990 y 141 del Decreto-Ley 1212 de 1990, se ajustará el porcentaje a que se tenga derecho, según el tiempo de servicio en el cincuenta por ciento (50%).</w:t>
      </w:r>
    </w:p>
    <w:p w:rsidR="00A40890" w:rsidRDefault="00061EE6" w:rsidP="006B765D">
      <w:pPr>
        <w:pStyle w:val="NormalWeb"/>
        <w:spacing w:line="384" w:lineRule="auto"/>
        <w:jc w:val="both"/>
        <w:rPr>
          <w:rFonts w:ascii="Century Gothic" w:eastAsia="Calibri" w:hAnsi="Century Gothic" w:cs="Arial"/>
          <w:bCs/>
          <w:color w:val="000000" w:themeColor="text1"/>
          <w:spacing w:val="-4"/>
          <w:lang w:val="es-ES_tradnl" w:eastAsia="en-US"/>
        </w:rPr>
      </w:pPr>
      <w:r w:rsidRPr="00046EA5">
        <w:rPr>
          <w:rFonts w:ascii="Century Gothic" w:eastAsia="Calibri" w:hAnsi="Century Gothic" w:cs="Arial"/>
          <w:bCs/>
          <w:color w:val="000000" w:themeColor="text1"/>
          <w:spacing w:val="-4"/>
          <w:lang w:val="es-ES_tradnl" w:eastAsia="en-US"/>
        </w:rPr>
        <w:t xml:space="preserve">Siguiendo un poco el recorrido y la suerte de la prima de actividad, se encuentra que en el Decreto fue derogado por el Decreto 1050 de 2011 el cual en su artículo 30 mantuvo tal porcentaje. </w:t>
      </w:r>
    </w:p>
    <w:p w:rsidR="00183862" w:rsidRPr="00046EA5" w:rsidRDefault="00A40890" w:rsidP="006B765D">
      <w:pPr>
        <w:pStyle w:val="NormalWeb"/>
        <w:spacing w:line="384" w:lineRule="auto"/>
        <w:jc w:val="both"/>
        <w:rPr>
          <w:rFonts w:ascii="Century Gothic" w:hAnsi="Century Gothic" w:cs="Arial"/>
          <w:color w:val="000000" w:themeColor="text1"/>
        </w:rPr>
      </w:pPr>
      <w:r>
        <w:rPr>
          <w:rFonts w:ascii="Century Gothic" w:eastAsia="Calibri" w:hAnsi="Century Gothic" w:cs="Arial"/>
          <w:bCs/>
          <w:color w:val="000000" w:themeColor="text1"/>
          <w:spacing w:val="-4"/>
          <w:lang w:val="es-ES_tradnl" w:eastAsia="en-US"/>
        </w:rPr>
        <w:t xml:space="preserve">Si bien </w:t>
      </w:r>
      <w:r w:rsidR="00061EE6" w:rsidRPr="00046EA5">
        <w:rPr>
          <w:rFonts w:ascii="Century Gothic" w:eastAsia="Calibri" w:hAnsi="Century Gothic" w:cs="Arial"/>
          <w:bCs/>
          <w:color w:val="000000" w:themeColor="text1"/>
          <w:spacing w:val="-4"/>
          <w:lang w:val="es-ES_tradnl" w:eastAsia="en-US"/>
        </w:rPr>
        <w:t xml:space="preserve">las modificaciones han sido constantes, se ha mantenido el porcentaje que estableció el Decreto 673 de 2008 por primera vez de </w:t>
      </w:r>
      <w:r w:rsidR="00061EE6" w:rsidRPr="00046EA5">
        <w:rPr>
          <w:rFonts w:ascii="Century Gothic" w:hAnsi="Century Gothic" w:cs="Arial"/>
          <w:color w:val="000000" w:themeColor="text1"/>
        </w:rPr>
        <w:t>cuarenta y nueve punto cinco por ciento (49.5%), siempre con la misma particularidad, dejando por fuera a los Agentes de la Policía. Entre tanto</w:t>
      </w:r>
      <w:r>
        <w:rPr>
          <w:rFonts w:ascii="Century Gothic" w:hAnsi="Century Gothic" w:cs="Arial"/>
          <w:color w:val="000000" w:themeColor="text1"/>
        </w:rPr>
        <w:t>,</w:t>
      </w:r>
      <w:r w:rsidR="00061EE6" w:rsidRPr="00046EA5">
        <w:rPr>
          <w:rFonts w:ascii="Century Gothic" w:hAnsi="Century Gothic" w:cs="Arial"/>
          <w:color w:val="000000" w:themeColor="text1"/>
        </w:rPr>
        <w:t xml:space="preserve"> se encuentra el artículo 30 del Decreto 842 de 2012, derogado por el Decreto 1017 de 2013 estableciendo la prima de actividad en el artículo 30, Decreto derogado por</w:t>
      </w:r>
      <w:r w:rsidR="00E418FC" w:rsidRPr="00046EA5">
        <w:rPr>
          <w:rFonts w:ascii="Century Gothic" w:hAnsi="Century Gothic" w:cs="Arial"/>
          <w:color w:val="000000" w:themeColor="text1"/>
        </w:rPr>
        <w:t xml:space="preserve"> el Decreto 187 de 2014, igualmente, este Decreto fue derogado por el Decreto 1028 de 2015, Decreto que sufrió la misma suerte y fue Derogado por el Decreto 1214 de 2016 y por último y vigente a la fecha, el Decreto 984 de 2017 que derogó el Decreto 1214 y en su artículo </w:t>
      </w:r>
      <w:r w:rsidR="00F41898" w:rsidRPr="00046EA5">
        <w:rPr>
          <w:rFonts w:ascii="Century Gothic" w:hAnsi="Century Gothic" w:cs="Arial"/>
          <w:color w:val="000000" w:themeColor="text1"/>
        </w:rPr>
        <w:t>30 establece</w:t>
      </w:r>
      <w:r w:rsidR="00E418FC" w:rsidRPr="00046EA5">
        <w:rPr>
          <w:rFonts w:ascii="Century Gothic" w:hAnsi="Century Gothic" w:cs="Arial"/>
          <w:color w:val="000000" w:themeColor="text1"/>
        </w:rPr>
        <w:t xml:space="preserve">: </w:t>
      </w:r>
    </w:p>
    <w:p w:rsidR="00E418FC" w:rsidRPr="00046EA5" w:rsidRDefault="00E418FC" w:rsidP="006B765D">
      <w:pPr>
        <w:pStyle w:val="NormalWeb"/>
        <w:spacing w:line="384" w:lineRule="auto"/>
        <w:ind w:left="284"/>
        <w:jc w:val="both"/>
        <w:rPr>
          <w:rFonts w:ascii="Century Gothic" w:eastAsia="Calibri" w:hAnsi="Century Gothic" w:cs="Arial"/>
          <w:bCs/>
          <w:i/>
          <w:color w:val="000000" w:themeColor="text1"/>
          <w:spacing w:val="-4"/>
          <w:lang w:val="es-ES_tradnl" w:eastAsia="en-US"/>
        </w:rPr>
      </w:pPr>
      <w:r w:rsidRPr="00046EA5">
        <w:rPr>
          <w:rFonts w:ascii="Century Gothic" w:eastAsia="Calibri" w:hAnsi="Century Gothic" w:cs="Arial"/>
          <w:bCs/>
          <w:i/>
          <w:color w:val="000000" w:themeColor="text1"/>
          <w:spacing w:val="-4"/>
          <w:lang w:val="es-ES_tradnl" w:eastAsia="en-US"/>
        </w:rPr>
        <w:t>ARTÍCULO 30. La prima de actividad de que trata el artículo 38 del Decreto 1214 de 1990, los artículos 84 del Decreto-ley 1211 de 1990 y 68 del Decreto-ley 1212 de 1990 será del cuarenta y nueve punto cinco por ciento (49.5%).</w:t>
      </w:r>
    </w:p>
    <w:p w:rsidR="00E418FC" w:rsidRPr="00046EA5" w:rsidRDefault="00E418FC" w:rsidP="006B765D">
      <w:pPr>
        <w:pStyle w:val="NormalWeb"/>
        <w:spacing w:line="384" w:lineRule="auto"/>
        <w:ind w:left="284"/>
        <w:jc w:val="both"/>
        <w:rPr>
          <w:rFonts w:ascii="Century Gothic" w:eastAsia="Calibri" w:hAnsi="Century Gothic" w:cs="Arial"/>
          <w:bCs/>
          <w:i/>
          <w:color w:val="000000" w:themeColor="text1"/>
          <w:spacing w:val="-4"/>
          <w:lang w:val="es-ES_tradnl" w:eastAsia="en-US"/>
        </w:rPr>
      </w:pPr>
      <w:r w:rsidRPr="00046EA5">
        <w:rPr>
          <w:rFonts w:ascii="Century Gothic" w:eastAsia="Calibri" w:hAnsi="Century Gothic" w:cs="Arial"/>
          <w:bCs/>
          <w:i/>
          <w:color w:val="000000" w:themeColor="text1"/>
          <w:spacing w:val="-4"/>
          <w:lang w:val="es-ES_tradnl" w:eastAsia="en-US"/>
        </w:rPr>
        <w:lastRenderedPageBreak/>
        <w:t>Para el cómputo de esta prima en las prestaciones sociales, diferentes a la asignación de retiro o pensión, de que tratan los artículos 159 del Decreto-ley 1211 de 1990 y 141 del Decreto-ley 1212 de 1990, se ajustará el porcentaje a que se tenga derecho, según el tiempo de servicio en el cincuenta por ciento (50%).</w:t>
      </w:r>
    </w:p>
    <w:p w:rsidR="00E418FC" w:rsidRPr="00046EA5" w:rsidRDefault="00432CCB" w:rsidP="006B765D">
      <w:pPr>
        <w:pStyle w:val="NormalWeb"/>
        <w:spacing w:line="384" w:lineRule="auto"/>
        <w:jc w:val="both"/>
        <w:rPr>
          <w:rFonts w:ascii="Century Gothic" w:eastAsia="Calibri" w:hAnsi="Century Gothic" w:cs="Arial"/>
          <w:bCs/>
          <w:color w:val="000000" w:themeColor="text1"/>
          <w:spacing w:val="-4"/>
          <w:lang w:val="es-ES_tradnl" w:eastAsia="en-US"/>
        </w:rPr>
      </w:pPr>
      <w:r w:rsidRPr="00046EA5">
        <w:rPr>
          <w:rFonts w:ascii="Century Gothic" w:eastAsia="Calibri" w:hAnsi="Century Gothic" w:cs="Arial"/>
          <w:bCs/>
          <w:color w:val="000000" w:themeColor="text1"/>
          <w:spacing w:val="-4"/>
          <w:lang w:val="es-ES_tradnl" w:eastAsia="en-US"/>
        </w:rPr>
        <w:t>Como resultado, se logra identificar que la prima de actividad mantiene un porcentaje del 49.5% del salario básico desde el año 2008 no siendo extensivo este incremento a los Agentes de la Policía</w:t>
      </w:r>
      <w:r w:rsidR="00D86E29" w:rsidRPr="00046EA5">
        <w:rPr>
          <w:rFonts w:ascii="Century Gothic" w:eastAsia="Calibri" w:hAnsi="Century Gothic" w:cs="Arial"/>
          <w:bCs/>
          <w:color w:val="000000" w:themeColor="text1"/>
          <w:spacing w:val="-4"/>
          <w:lang w:val="es-ES_tradnl" w:eastAsia="en-US"/>
        </w:rPr>
        <w:t xml:space="preserve"> Nacional, y manteniendo para aquellos las disposiciones del Decreto 1213 de 1990. </w:t>
      </w:r>
    </w:p>
    <w:p w:rsidR="00092C74" w:rsidRPr="00046EA5" w:rsidRDefault="0003644B" w:rsidP="006B765D">
      <w:pPr>
        <w:pStyle w:val="NormalWeb"/>
        <w:shd w:val="clear" w:color="auto" w:fill="FFFFFF"/>
        <w:spacing w:line="384" w:lineRule="auto"/>
        <w:jc w:val="both"/>
        <w:rPr>
          <w:rFonts w:ascii="Century Gothic" w:hAnsi="Century Gothic" w:cs="Arial"/>
          <w:bCs/>
          <w:color w:val="000000" w:themeColor="text1"/>
        </w:rPr>
      </w:pPr>
      <w:r w:rsidRPr="00046EA5">
        <w:rPr>
          <w:rFonts w:ascii="Century Gothic" w:eastAsia="Calibri" w:hAnsi="Century Gothic" w:cs="Arial"/>
          <w:bCs/>
          <w:color w:val="000000" w:themeColor="text1"/>
          <w:spacing w:val="-4"/>
          <w:lang w:val="es-ES_tradnl" w:eastAsia="en-US"/>
        </w:rPr>
        <w:t xml:space="preserve">Se hace necesario el incremento de la prima de actividad para los Agentes de la </w:t>
      </w:r>
      <w:r w:rsidR="00092C74" w:rsidRPr="00046EA5">
        <w:rPr>
          <w:rFonts w:ascii="Century Gothic" w:eastAsia="Calibri" w:hAnsi="Century Gothic" w:cs="Arial"/>
          <w:bCs/>
          <w:color w:val="000000" w:themeColor="text1"/>
          <w:spacing w:val="-4"/>
          <w:lang w:val="es-ES_tradnl" w:eastAsia="en-US"/>
        </w:rPr>
        <w:t>Policía, en razón al mandato del artículo 48 de la Constitución sobre el carácter progresivo de la seguridad social, el cual comporta que, el Estado, en la medida de lo posible, debe, no sólo ampliar la cobertura de los servicios, sino avanzar en el contenido y en la calidad de las prestaciones, además de dar cumplimiento a los dispuesto en el Decreto 4433 de 2004 “</w:t>
      </w:r>
      <w:r w:rsidR="00092C74" w:rsidRPr="00046EA5">
        <w:rPr>
          <w:rFonts w:ascii="Century Gothic" w:eastAsia="Calibri" w:hAnsi="Century Gothic" w:cs="Arial"/>
          <w:bCs/>
          <w:i/>
          <w:color w:val="000000" w:themeColor="text1"/>
          <w:spacing w:val="-4"/>
          <w:lang w:val="es-ES_tradnl" w:eastAsia="en-US"/>
        </w:rPr>
        <w:t>Por</w:t>
      </w:r>
      <w:r w:rsidR="00092C74" w:rsidRPr="00046EA5">
        <w:rPr>
          <w:rFonts w:ascii="Century Gothic" w:hAnsi="Century Gothic" w:cs="Arial"/>
          <w:bCs/>
          <w:i/>
          <w:color w:val="000000" w:themeColor="text1"/>
          <w:shd w:val="clear" w:color="auto" w:fill="FFFFFF"/>
        </w:rPr>
        <w:t xml:space="preserve"> medio del cual se fija el régimen pensional y de asignación de retiro de los miembros de la Fuerza Pública”</w:t>
      </w:r>
      <w:r w:rsidR="00092C74" w:rsidRPr="00046EA5">
        <w:rPr>
          <w:rFonts w:ascii="Century Gothic" w:hAnsi="Century Gothic" w:cs="Arial"/>
          <w:bCs/>
          <w:i/>
          <w:color w:val="000000" w:themeColor="text1"/>
        </w:rPr>
        <w:t xml:space="preserve"> </w:t>
      </w:r>
      <w:r w:rsidR="00092C74" w:rsidRPr="00046EA5">
        <w:rPr>
          <w:rFonts w:ascii="Century Gothic" w:hAnsi="Century Gothic" w:cs="Arial"/>
          <w:bCs/>
          <w:color w:val="000000" w:themeColor="text1"/>
        </w:rPr>
        <w:t xml:space="preserve">el cual tiene aplicación entre otros a los Agentes de la Policía Nacional, y en su artículo 3° dispone los principios a los cuales debe responder: </w:t>
      </w:r>
    </w:p>
    <w:p w:rsidR="00092C74" w:rsidRPr="00046EA5" w:rsidRDefault="00092C74" w:rsidP="006B765D">
      <w:pPr>
        <w:pStyle w:val="NormalWeb"/>
        <w:shd w:val="clear" w:color="auto" w:fill="FFFFFF"/>
        <w:spacing w:line="384" w:lineRule="auto"/>
        <w:ind w:left="284"/>
        <w:jc w:val="both"/>
        <w:rPr>
          <w:rFonts w:ascii="Century Gothic" w:hAnsi="Century Gothic" w:cs="Arial"/>
          <w:i/>
          <w:color w:val="000000" w:themeColor="text1"/>
        </w:rPr>
      </w:pPr>
      <w:r w:rsidRPr="00046EA5">
        <w:rPr>
          <w:rFonts w:ascii="Century Gothic" w:hAnsi="Century Gothic" w:cs="Arial"/>
          <w:bCs/>
          <w:i/>
          <w:color w:val="000000" w:themeColor="text1"/>
        </w:rPr>
        <w:t>Artículo 3°. </w:t>
      </w:r>
      <w:r w:rsidRPr="00046EA5">
        <w:rPr>
          <w:rFonts w:ascii="Century Gothic" w:hAnsi="Century Gothic" w:cs="Arial"/>
          <w:i/>
          <w:iCs/>
          <w:color w:val="000000" w:themeColor="text1"/>
        </w:rPr>
        <w:t>Principios</w:t>
      </w:r>
      <w:r w:rsidRPr="00046EA5">
        <w:rPr>
          <w:rFonts w:ascii="Century Gothic" w:hAnsi="Century Gothic" w:cs="Arial"/>
          <w:i/>
          <w:color w:val="000000" w:themeColor="text1"/>
        </w:rPr>
        <w:t>. El régimen especial de asignación de retiro y de pensiones de las Fuerzas Militares y de la Policía Nacional, deberá responder a los principios de eficiencia, universalidad, igualdad, equidad, responsabilidad financiera, intangibilidad y solidaridad.</w:t>
      </w:r>
    </w:p>
    <w:p w:rsidR="006A2E58" w:rsidRPr="00046EA5" w:rsidRDefault="006A2E58" w:rsidP="006B765D">
      <w:pPr>
        <w:pStyle w:val="NormalWeb"/>
        <w:shd w:val="clear" w:color="auto" w:fill="FFFFFF"/>
        <w:spacing w:line="384" w:lineRule="auto"/>
        <w:jc w:val="both"/>
        <w:rPr>
          <w:rFonts w:ascii="Century Gothic" w:eastAsia="Calibri" w:hAnsi="Century Gothic" w:cs="Arial"/>
          <w:bCs/>
          <w:color w:val="000000" w:themeColor="text1"/>
          <w:spacing w:val="-4"/>
          <w:lang w:val="es-ES_tradnl" w:eastAsia="en-US"/>
        </w:rPr>
      </w:pPr>
      <w:r w:rsidRPr="00046EA5">
        <w:rPr>
          <w:rFonts w:ascii="Century Gothic" w:eastAsia="Calibri" w:hAnsi="Century Gothic" w:cs="Arial"/>
          <w:bCs/>
          <w:color w:val="000000" w:themeColor="text1"/>
          <w:spacing w:val="-4"/>
          <w:lang w:val="es-ES_tradnl" w:eastAsia="en-US"/>
        </w:rPr>
        <w:lastRenderedPageBreak/>
        <w:t>En consecuencia, si bien la seguridad social siempre debe avanzar en la calidad de las prestaciones, lo cual se viene vulnerando al no ser extensivo los incrementos a los Agentes de la Policía Nacional, se hace necesario establecer norma expresa que reconozca un incremento a la prima de act</w:t>
      </w:r>
      <w:r w:rsidR="004C5DBD" w:rsidRPr="00046EA5">
        <w:rPr>
          <w:rFonts w:ascii="Century Gothic" w:eastAsia="Calibri" w:hAnsi="Century Gothic" w:cs="Arial"/>
          <w:bCs/>
          <w:color w:val="000000" w:themeColor="text1"/>
          <w:spacing w:val="-4"/>
          <w:lang w:val="es-ES_tradnl" w:eastAsia="en-US"/>
        </w:rPr>
        <w:t xml:space="preserve">ividad de los Agentes y que de aplicación al principio de la igualdad como mandato constitucional. </w:t>
      </w:r>
    </w:p>
    <w:p w:rsidR="004C5DBD" w:rsidRPr="00046EA5" w:rsidRDefault="004C5DBD" w:rsidP="006B765D">
      <w:pPr>
        <w:spacing w:before="28" w:after="0" w:line="384" w:lineRule="auto"/>
        <w:jc w:val="both"/>
        <w:rPr>
          <w:rFonts w:ascii="Century Gothic" w:hAnsi="Century Gothic"/>
          <w:iCs/>
          <w:color w:val="000000" w:themeColor="text1"/>
          <w:sz w:val="24"/>
          <w:szCs w:val="24"/>
          <w:bdr w:val="none" w:sz="0" w:space="0" w:color="auto" w:frame="1"/>
        </w:rPr>
      </w:pPr>
      <w:r w:rsidRPr="00046EA5">
        <w:rPr>
          <w:rFonts w:ascii="Century Gothic" w:hAnsi="Century Gothic"/>
          <w:iCs/>
          <w:color w:val="000000" w:themeColor="text1"/>
          <w:sz w:val="24"/>
          <w:szCs w:val="24"/>
          <w:bdr w:val="none" w:sz="0" w:space="0" w:color="auto" w:frame="1"/>
        </w:rPr>
        <w:t xml:space="preserve">En razón a lo expuesto, resulta relevante hacer referencia al principio y derecho a la igualdad desde la esfera de la Alta Corte del país, sin antes mencionar lo consagrado en la Carta Política referente al derecho a la igual. </w:t>
      </w:r>
    </w:p>
    <w:p w:rsidR="004C5DBD" w:rsidRPr="00046EA5" w:rsidRDefault="004C5DBD" w:rsidP="006B765D">
      <w:pPr>
        <w:pStyle w:val="NormalWeb"/>
        <w:shd w:val="clear" w:color="auto" w:fill="FFFFFF"/>
        <w:spacing w:line="384" w:lineRule="auto"/>
        <w:jc w:val="both"/>
        <w:rPr>
          <w:rFonts w:ascii="Century Gothic" w:hAnsi="Century Gothic"/>
          <w:iCs/>
          <w:color w:val="000000" w:themeColor="text1"/>
          <w:bdr w:val="none" w:sz="0" w:space="0" w:color="auto" w:frame="1"/>
        </w:rPr>
      </w:pPr>
      <w:r w:rsidRPr="00046EA5">
        <w:rPr>
          <w:rFonts w:ascii="Century Gothic" w:hAnsi="Century Gothic"/>
          <w:iCs/>
          <w:color w:val="000000" w:themeColor="text1"/>
          <w:bdr w:val="none" w:sz="0" w:space="0" w:color="auto" w:frame="1"/>
        </w:rPr>
        <w:t xml:space="preserve">En primer lugar, la Constitución Política en su artículo 13 manifiesta: </w:t>
      </w:r>
    </w:p>
    <w:p w:rsidR="004C5DBD" w:rsidRPr="00046EA5" w:rsidRDefault="004C5DBD" w:rsidP="006B765D">
      <w:pPr>
        <w:pStyle w:val="NormalWeb"/>
        <w:shd w:val="clear" w:color="auto" w:fill="FFFFFF"/>
        <w:spacing w:line="384" w:lineRule="auto"/>
        <w:ind w:left="284"/>
        <w:jc w:val="both"/>
        <w:rPr>
          <w:rFonts w:ascii="Century Gothic" w:hAnsi="Century Gothic" w:cs="Arial"/>
          <w:i/>
          <w:color w:val="000000" w:themeColor="text1"/>
        </w:rPr>
      </w:pPr>
      <w:r w:rsidRPr="00046EA5">
        <w:rPr>
          <w:rFonts w:ascii="Century Gothic" w:hAnsi="Century Gothic" w:cs="Arial"/>
          <w:bCs/>
          <w:i/>
          <w:color w:val="000000" w:themeColor="text1"/>
        </w:rPr>
        <w:t>“ARTICULO  </w:t>
      </w:r>
      <w:bookmarkStart w:id="3" w:name="13"/>
      <w:r w:rsidRPr="00046EA5">
        <w:rPr>
          <w:rFonts w:ascii="Century Gothic" w:hAnsi="Century Gothic" w:cs="Arial"/>
          <w:bCs/>
          <w:i/>
          <w:color w:val="000000" w:themeColor="text1"/>
        </w:rPr>
        <w:t> </w:t>
      </w:r>
      <w:bookmarkEnd w:id="3"/>
      <w:r w:rsidRPr="00046EA5">
        <w:rPr>
          <w:rFonts w:ascii="Century Gothic" w:hAnsi="Century Gothic" w:cs="Arial"/>
          <w:bCs/>
          <w:i/>
          <w:color w:val="000000" w:themeColor="text1"/>
        </w:rPr>
        <w:t>13. </w:t>
      </w:r>
      <w:bookmarkStart w:id="4" w:name="BM13"/>
      <w:r w:rsidRPr="00046EA5">
        <w:rPr>
          <w:rFonts w:ascii="Century Gothic" w:hAnsi="Century Gothic" w:cs="Arial"/>
          <w:i/>
          <w:color w:val="000000" w:themeColor="text1"/>
        </w:rPr>
        <w:t> </w:t>
      </w:r>
      <w:bookmarkEnd w:id="4"/>
      <w:r w:rsidRPr="00046EA5">
        <w:rPr>
          <w:rFonts w:ascii="Century Gothic" w:hAnsi="Century Gothic" w:cs="Arial"/>
          <w:i/>
          <w:color w:val="000000" w:themeColor="text1"/>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rsidR="004C5DBD" w:rsidRPr="00046EA5" w:rsidRDefault="004C5DBD" w:rsidP="006B765D">
      <w:pPr>
        <w:shd w:val="clear" w:color="auto" w:fill="FFFFFF"/>
        <w:spacing w:before="100" w:beforeAutospacing="1" w:after="100" w:afterAutospacing="1" w:line="384" w:lineRule="auto"/>
        <w:ind w:left="284"/>
        <w:jc w:val="both"/>
        <w:rPr>
          <w:rFonts w:ascii="Century Gothic" w:eastAsia="Times New Roman" w:hAnsi="Century Gothic" w:cs="Arial"/>
          <w:i/>
          <w:color w:val="000000" w:themeColor="text1"/>
          <w:sz w:val="24"/>
          <w:szCs w:val="24"/>
          <w:lang w:eastAsia="es-CO"/>
        </w:rPr>
      </w:pPr>
      <w:r w:rsidRPr="00046EA5">
        <w:rPr>
          <w:rFonts w:ascii="Century Gothic" w:eastAsia="Times New Roman" w:hAnsi="Century Gothic" w:cs="Arial"/>
          <w:i/>
          <w:color w:val="000000" w:themeColor="text1"/>
          <w:sz w:val="24"/>
          <w:szCs w:val="24"/>
          <w:lang w:eastAsia="es-CO"/>
        </w:rPr>
        <w:t>El Estado promoverá las condiciones para que la igualdad sea real y efectiva y adoptará medidas en favor de grupos discriminados o marginados.</w:t>
      </w:r>
    </w:p>
    <w:p w:rsidR="004C5DBD" w:rsidRPr="00046EA5" w:rsidRDefault="004C5DBD" w:rsidP="006B765D">
      <w:pPr>
        <w:shd w:val="clear" w:color="auto" w:fill="FFFFFF"/>
        <w:spacing w:before="100" w:beforeAutospacing="1" w:after="100" w:afterAutospacing="1" w:line="384" w:lineRule="auto"/>
        <w:ind w:left="284"/>
        <w:jc w:val="both"/>
        <w:rPr>
          <w:rFonts w:ascii="Century Gothic" w:eastAsia="Times New Roman" w:hAnsi="Century Gothic" w:cs="Arial"/>
          <w:color w:val="000000" w:themeColor="text1"/>
          <w:sz w:val="24"/>
          <w:szCs w:val="24"/>
          <w:lang w:eastAsia="es-CO"/>
        </w:rPr>
      </w:pPr>
      <w:r w:rsidRPr="00046EA5">
        <w:rPr>
          <w:rFonts w:ascii="Century Gothic" w:eastAsia="Times New Roman" w:hAnsi="Century Gothic" w:cs="Arial"/>
          <w:i/>
          <w:color w:val="000000" w:themeColor="text1"/>
          <w:sz w:val="24"/>
          <w:szCs w:val="24"/>
          <w:lang w:eastAsia="es-CO"/>
        </w:rPr>
        <w:t>El Estado</w:t>
      </w:r>
      <w:bookmarkStart w:id="5" w:name="13.i.3"/>
      <w:r w:rsidRPr="00046EA5">
        <w:rPr>
          <w:rFonts w:ascii="Century Gothic" w:eastAsia="Times New Roman" w:hAnsi="Century Gothic" w:cs="Arial"/>
          <w:i/>
          <w:color w:val="000000" w:themeColor="text1"/>
          <w:sz w:val="24"/>
          <w:szCs w:val="24"/>
          <w:lang w:eastAsia="es-CO"/>
        </w:rPr>
        <w:t> </w:t>
      </w:r>
      <w:bookmarkEnd w:id="5"/>
      <w:r w:rsidRPr="00046EA5">
        <w:rPr>
          <w:rFonts w:ascii="Century Gothic" w:eastAsia="Times New Roman" w:hAnsi="Century Gothic" w:cs="Arial"/>
          <w:i/>
          <w:color w:val="000000" w:themeColor="text1"/>
          <w:sz w:val="24"/>
          <w:szCs w:val="24"/>
          <w:lang w:eastAsia="es-CO"/>
        </w:rPr>
        <w:t xml:space="preserve">protegerá especialmente a aquellas personas </w:t>
      </w:r>
      <w:r w:rsidR="00F41898" w:rsidRPr="00046EA5">
        <w:rPr>
          <w:rFonts w:ascii="Century Gothic" w:eastAsia="Times New Roman" w:hAnsi="Century Gothic" w:cs="Arial"/>
          <w:i/>
          <w:color w:val="000000" w:themeColor="text1"/>
          <w:sz w:val="24"/>
          <w:szCs w:val="24"/>
          <w:lang w:eastAsia="es-CO"/>
        </w:rPr>
        <w:t>que,</w:t>
      </w:r>
      <w:r w:rsidRPr="00046EA5">
        <w:rPr>
          <w:rFonts w:ascii="Century Gothic" w:eastAsia="Times New Roman" w:hAnsi="Century Gothic" w:cs="Arial"/>
          <w:i/>
          <w:color w:val="000000" w:themeColor="text1"/>
          <w:sz w:val="24"/>
          <w:szCs w:val="24"/>
          <w:lang w:eastAsia="es-CO"/>
        </w:rPr>
        <w:t xml:space="preserve"> por su condición económica, física o mental, se encuentren en circunstancia </w:t>
      </w:r>
      <w:r w:rsidRPr="00046EA5">
        <w:rPr>
          <w:rFonts w:ascii="Century Gothic" w:eastAsia="Times New Roman" w:hAnsi="Century Gothic" w:cs="Arial"/>
          <w:i/>
          <w:color w:val="000000" w:themeColor="text1"/>
          <w:sz w:val="24"/>
          <w:szCs w:val="24"/>
          <w:lang w:eastAsia="es-CO"/>
        </w:rPr>
        <w:lastRenderedPageBreak/>
        <w:t>de debilidad manifiesta y sancionará los abusos o maltratos que contra ellas se cometan</w:t>
      </w:r>
      <w:r w:rsidRPr="00046EA5">
        <w:rPr>
          <w:rFonts w:ascii="Century Gothic" w:eastAsia="Times New Roman" w:hAnsi="Century Gothic" w:cs="Arial"/>
          <w:color w:val="000000" w:themeColor="text1"/>
          <w:sz w:val="24"/>
          <w:szCs w:val="24"/>
          <w:lang w:eastAsia="es-CO"/>
        </w:rPr>
        <w:t>.”</w:t>
      </w:r>
    </w:p>
    <w:p w:rsidR="004C5DBD" w:rsidRPr="00046EA5" w:rsidRDefault="004C5DBD" w:rsidP="006B765D">
      <w:pPr>
        <w:shd w:val="clear" w:color="auto" w:fill="FFFFFF"/>
        <w:spacing w:before="100" w:beforeAutospacing="1" w:after="100" w:afterAutospacing="1" w:line="384" w:lineRule="auto"/>
        <w:jc w:val="both"/>
        <w:rPr>
          <w:rFonts w:ascii="Century Gothic" w:eastAsia="Times New Roman" w:hAnsi="Century Gothic" w:cs="Arial"/>
          <w:color w:val="000000" w:themeColor="text1"/>
          <w:sz w:val="24"/>
          <w:szCs w:val="24"/>
          <w:lang w:eastAsia="es-CO"/>
        </w:rPr>
      </w:pPr>
      <w:r w:rsidRPr="00046EA5">
        <w:rPr>
          <w:rFonts w:ascii="Century Gothic" w:eastAsia="Times New Roman" w:hAnsi="Century Gothic" w:cs="Arial"/>
          <w:color w:val="000000" w:themeColor="text1"/>
          <w:sz w:val="24"/>
          <w:szCs w:val="24"/>
          <w:lang w:eastAsia="es-CO"/>
        </w:rPr>
        <w:t xml:space="preserve">Precepto que a la luz de la Corte Constitucional son el sustento para cuatro mandatos: </w:t>
      </w:r>
      <w:r w:rsidRPr="00046EA5">
        <w:rPr>
          <w:rFonts w:ascii="Century Gothic" w:eastAsia="Times New Roman" w:hAnsi="Century Gothic" w:cs="Arial"/>
          <w:i/>
          <w:color w:val="000000" w:themeColor="text1"/>
          <w:sz w:val="24"/>
          <w:szCs w:val="24"/>
          <w:lang w:eastAsia="es-CO"/>
        </w:rPr>
        <w:t>(i) un mandato de trato idéntico a destinatarios que se encuentren en circunstancias idénticas, (ii) un mandato de trato enteramente diferenciado a destinatarios cuyas situaciones no comparten ningún elemento en común, (iii) un mandato de trato paritario a destinatarios cuyas situaciones presenten similitudes y diferencias, pero las similitudes sean más relevantes a pesar de las diferencias y, (iv) un mandato de trato diferenciado a destinatarios que se encuentren también en una posición en parte similar y en parte diversa, pero en cuyo caso las diferencias sean más relevantes que las similitudes.</w:t>
      </w:r>
      <w:r w:rsidRPr="00046EA5">
        <w:rPr>
          <w:rFonts w:ascii="Century Gothic" w:eastAsia="Times New Roman" w:hAnsi="Century Gothic" w:cs="Arial"/>
          <w:color w:val="000000" w:themeColor="text1"/>
          <w:sz w:val="24"/>
          <w:szCs w:val="24"/>
          <w:lang w:eastAsia="es-CO"/>
        </w:rPr>
        <w:t xml:space="preserve"> (Corte Constitucional, 2012). </w:t>
      </w:r>
    </w:p>
    <w:p w:rsidR="004C5DBD" w:rsidRPr="00046EA5" w:rsidRDefault="004C5DBD" w:rsidP="006B765D">
      <w:pPr>
        <w:pStyle w:val="NormalWeb"/>
        <w:spacing w:line="384" w:lineRule="auto"/>
        <w:jc w:val="both"/>
        <w:rPr>
          <w:rFonts w:ascii="Century Gothic" w:hAnsi="Century Gothic" w:cs="Arial"/>
          <w:color w:val="000000" w:themeColor="text1"/>
        </w:rPr>
      </w:pPr>
      <w:r w:rsidRPr="00046EA5">
        <w:rPr>
          <w:rFonts w:ascii="Century Gothic" w:hAnsi="Century Gothic" w:cs="Arial"/>
          <w:color w:val="000000" w:themeColor="text1"/>
        </w:rPr>
        <w:t xml:space="preserve">En razón a la materia que justifica el objeto del presente proyecto de Ley y como lo señala la Corte </w:t>
      </w:r>
      <w:r w:rsidRPr="00046EA5">
        <w:rPr>
          <w:rFonts w:ascii="Century Gothic" w:hAnsi="Century Gothic" w:cs="Arial"/>
          <w:i/>
          <w:color w:val="000000" w:themeColor="text1"/>
        </w:rPr>
        <w:t xml:space="preserve">“el inciso primero del citado precepto señala la igualdad de protección, de trato y en el goce de derechos, libertades y oportunidades, al igual que la prohibición de discriminación; […]” </w:t>
      </w:r>
      <w:r w:rsidRPr="00046EA5">
        <w:rPr>
          <w:rFonts w:ascii="Century Gothic" w:hAnsi="Century Gothic" w:cs="Arial"/>
          <w:color w:val="000000" w:themeColor="text1"/>
        </w:rPr>
        <w:t xml:space="preserve">se justifica dar un trato a los Agentes de la Policía Nacional en igualdad de condiciones oportunidades y derechos como se le ha otorgado a Los Oficiales y Suboficiales de las Fuerzas Militares en servicio activo, los Oficiales y Suboficiales de la Policía Nacional, en servicio activo y a los empleados públicos del Ministerio de Defensa y de la Policía Nacional. </w:t>
      </w:r>
    </w:p>
    <w:p w:rsidR="00D86E29" w:rsidRPr="00046EA5" w:rsidRDefault="00612A0B" w:rsidP="006B765D">
      <w:pPr>
        <w:shd w:val="clear" w:color="auto" w:fill="FFFFFF"/>
        <w:spacing w:before="100" w:beforeAutospacing="1" w:after="100" w:afterAutospacing="1" w:line="384" w:lineRule="auto"/>
        <w:jc w:val="both"/>
        <w:rPr>
          <w:rFonts w:ascii="Century Gothic" w:hAnsi="Century Gothic"/>
          <w:color w:val="000000" w:themeColor="text1"/>
          <w:sz w:val="24"/>
          <w:szCs w:val="24"/>
        </w:rPr>
      </w:pPr>
      <w:r w:rsidRPr="00046EA5">
        <w:rPr>
          <w:rFonts w:ascii="Century Gothic" w:eastAsia="Times New Roman" w:hAnsi="Century Gothic" w:cs="Arial"/>
          <w:color w:val="000000" w:themeColor="text1"/>
          <w:sz w:val="24"/>
          <w:szCs w:val="24"/>
          <w:lang w:eastAsia="es-CO"/>
        </w:rPr>
        <w:lastRenderedPageBreak/>
        <w:t>Respecto del principio de oscilación, el Consejo de Estado ha advertido:</w:t>
      </w:r>
      <w:r w:rsidRPr="00046EA5">
        <w:rPr>
          <w:rFonts w:ascii="Century Gothic" w:eastAsia="Times New Roman" w:hAnsi="Century Gothic" w:cs="Arial"/>
          <w:i/>
          <w:color w:val="000000" w:themeColor="text1"/>
          <w:sz w:val="24"/>
          <w:szCs w:val="24"/>
          <w:lang w:eastAsia="es-CO"/>
        </w:rPr>
        <w:t xml:space="preserve"> </w:t>
      </w:r>
      <w:r w:rsidR="0009284E" w:rsidRPr="00046EA5">
        <w:rPr>
          <w:rFonts w:ascii="Century Gothic" w:eastAsia="Times New Roman" w:hAnsi="Century Gothic" w:cs="Arial"/>
          <w:i/>
          <w:color w:val="000000" w:themeColor="text1"/>
          <w:sz w:val="24"/>
          <w:szCs w:val="24"/>
          <w:lang w:eastAsia="es-CO"/>
        </w:rPr>
        <w:t>“</w:t>
      </w:r>
      <w:r w:rsidR="0009284E" w:rsidRPr="00046EA5">
        <w:rPr>
          <w:rFonts w:ascii="Century Gothic" w:hAnsi="Century Gothic"/>
          <w:i/>
          <w:color w:val="000000" w:themeColor="text1"/>
          <w:sz w:val="24"/>
          <w:szCs w:val="24"/>
        </w:rPr>
        <w:t xml:space="preserve">La oscilación plantea una regla de dependencia entre la asignación que perciben los miembros de la Fuerza Pública en servicio activo y aquellos que se encuentran en retiro y que en tal virtud gozan de una prestación, ya sea asignación de retiro o pensión de invalidez o los beneficiarios que reciben pensión de sobrevivientes” </w:t>
      </w:r>
      <w:r w:rsidR="0009284E" w:rsidRPr="00046EA5">
        <w:rPr>
          <w:rFonts w:ascii="Century Gothic" w:hAnsi="Century Gothic"/>
          <w:color w:val="000000" w:themeColor="text1"/>
          <w:sz w:val="24"/>
          <w:szCs w:val="24"/>
        </w:rPr>
        <w:t xml:space="preserve">(Consejo de Estado, 23 de febrero de 2017, C.P William Hernández Gómez). </w:t>
      </w:r>
      <w:r w:rsidR="0025022E" w:rsidRPr="00046EA5">
        <w:rPr>
          <w:rFonts w:ascii="Century Gothic" w:hAnsi="Century Gothic"/>
          <w:color w:val="000000" w:themeColor="text1"/>
          <w:sz w:val="24"/>
          <w:szCs w:val="24"/>
        </w:rPr>
        <w:t xml:space="preserve">De tal forma, que se requiere la aplicación de este principio en los términos del artículo 110 del Decreto 1213 de 1990: </w:t>
      </w:r>
    </w:p>
    <w:p w:rsidR="0025022E" w:rsidRPr="00046EA5" w:rsidRDefault="0025022E" w:rsidP="006B765D">
      <w:pPr>
        <w:shd w:val="clear" w:color="auto" w:fill="FFFFFF"/>
        <w:spacing w:before="100" w:beforeAutospacing="1" w:after="100" w:afterAutospacing="1" w:line="384" w:lineRule="auto"/>
        <w:ind w:left="284"/>
        <w:jc w:val="both"/>
        <w:rPr>
          <w:rFonts w:ascii="Century Gothic" w:eastAsia="Times New Roman" w:hAnsi="Century Gothic" w:cs="Arial"/>
          <w:i/>
          <w:color w:val="000000" w:themeColor="text1"/>
          <w:sz w:val="24"/>
          <w:szCs w:val="24"/>
          <w:lang w:eastAsia="es-CO"/>
        </w:rPr>
      </w:pPr>
      <w:r w:rsidRPr="00046EA5">
        <w:rPr>
          <w:rFonts w:ascii="Century Gothic" w:eastAsia="Times New Roman" w:hAnsi="Century Gothic" w:cs="Arial"/>
          <w:i/>
          <w:color w:val="000000" w:themeColor="text1"/>
          <w:sz w:val="24"/>
          <w:szCs w:val="24"/>
          <w:lang w:eastAsia="es-CO"/>
        </w:rPr>
        <w:t>“ARTÍCULO 110. OSCILACION DE ASIGNACIONES DE RETIRO Y PENSIONES. Las asignaciones de retiro y pensiones de que trata el presente Decreto, se liquidarán tomando en cuenta las variaciones que en todo tiempo se introduzcan en las asignaciones de actividad para un Agente y de conformidad con lo dispuesto en el artículo 100 de este Estatuto; en ningún caso aquéllas serán inferiores al salario mínimo legal. Los Agentes o beneficiarios no podrán acogerse a normas que regulen ajustes prestacionales en otros sectores de la Administración Pública, a menos que así lo disponga expresamente la Ley”.</w:t>
      </w:r>
    </w:p>
    <w:p w:rsidR="0025022E" w:rsidRPr="00046EA5" w:rsidRDefault="00FC22CF" w:rsidP="006B765D">
      <w:pPr>
        <w:shd w:val="clear" w:color="auto" w:fill="FFFFFF"/>
        <w:spacing w:before="100" w:beforeAutospacing="1" w:after="100" w:afterAutospacing="1" w:line="384" w:lineRule="auto"/>
        <w:jc w:val="both"/>
        <w:rPr>
          <w:rFonts w:ascii="Century Gothic" w:eastAsia="Times New Roman" w:hAnsi="Century Gothic" w:cs="Arial"/>
          <w:color w:val="000000" w:themeColor="text1"/>
          <w:sz w:val="24"/>
          <w:szCs w:val="24"/>
          <w:lang w:eastAsia="es-CO"/>
        </w:rPr>
      </w:pPr>
      <w:r w:rsidRPr="00046EA5">
        <w:rPr>
          <w:rFonts w:ascii="Century Gothic" w:eastAsia="Times New Roman" w:hAnsi="Century Gothic" w:cs="Arial"/>
          <w:color w:val="000000" w:themeColor="text1"/>
          <w:sz w:val="24"/>
          <w:szCs w:val="24"/>
          <w:lang w:eastAsia="es-CO"/>
        </w:rPr>
        <w:t xml:space="preserve">Lo anterior, </w:t>
      </w:r>
      <w:r w:rsidR="006B765D" w:rsidRPr="00046EA5">
        <w:rPr>
          <w:rFonts w:ascii="Century Gothic" w:eastAsia="Times New Roman" w:hAnsi="Century Gothic" w:cs="Arial"/>
          <w:color w:val="000000" w:themeColor="text1"/>
          <w:sz w:val="24"/>
          <w:szCs w:val="24"/>
          <w:lang w:eastAsia="es-CO"/>
        </w:rPr>
        <w:t>circunscribiendo</w:t>
      </w:r>
      <w:r w:rsidRPr="00046EA5">
        <w:rPr>
          <w:rFonts w:ascii="Century Gothic" w:eastAsia="Times New Roman" w:hAnsi="Century Gothic" w:cs="Arial"/>
          <w:color w:val="000000" w:themeColor="text1"/>
          <w:sz w:val="24"/>
          <w:szCs w:val="24"/>
          <w:lang w:eastAsia="es-CO"/>
        </w:rPr>
        <w:t xml:space="preserve"> a los Agentes de la Policía Nacional con asignación de retiro reconocida antes del </w:t>
      </w:r>
      <w:r w:rsidR="00450DBB">
        <w:rPr>
          <w:rFonts w:ascii="Century Gothic" w:eastAsia="Times New Roman" w:hAnsi="Century Gothic" w:cs="Arial"/>
          <w:color w:val="000000" w:themeColor="text1"/>
          <w:sz w:val="24"/>
          <w:szCs w:val="24"/>
          <w:lang w:eastAsia="es-CO"/>
        </w:rPr>
        <w:t>3</w:t>
      </w:r>
      <w:r w:rsidRPr="00046EA5">
        <w:rPr>
          <w:rFonts w:ascii="Century Gothic" w:eastAsia="Times New Roman" w:hAnsi="Century Gothic" w:cs="Arial"/>
          <w:color w:val="000000" w:themeColor="text1"/>
          <w:sz w:val="24"/>
          <w:szCs w:val="24"/>
          <w:lang w:eastAsia="es-CO"/>
        </w:rPr>
        <w:t xml:space="preserve">1 de </w:t>
      </w:r>
      <w:r w:rsidR="00450DBB">
        <w:rPr>
          <w:rFonts w:ascii="Century Gothic" w:eastAsia="Times New Roman" w:hAnsi="Century Gothic" w:cs="Arial"/>
          <w:color w:val="000000" w:themeColor="text1"/>
          <w:sz w:val="24"/>
          <w:szCs w:val="24"/>
          <w:lang w:eastAsia="es-CO"/>
        </w:rPr>
        <w:t>diciembre</w:t>
      </w:r>
      <w:r w:rsidRPr="00046EA5">
        <w:rPr>
          <w:rFonts w:ascii="Century Gothic" w:eastAsia="Times New Roman" w:hAnsi="Century Gothic" w:cs="Arial"/>
          <w:color w:val="000000" w:themeColor="text1"/>
          <w:sz w:val="24"/>
          <w:szCs w:val="24"/>
          <w:lang w:eastAsia="es-CO"/>
        </w:rPr>
        <w:t xml:space="preserve"> de 201</w:t>
      </w:r>
      <w:r w:rsidR="00450DBB">
        <w:rPr>
          <w:rFonts w:ascii="Century Gothic" w:eastAsia="Times New Roman" w:hAnsi="Century Gothic" w:cs="Arial"/>
          <w:color w:val="000000" w:themeColor="text1"/>
          <w:sz w:val="24"/>
          <w:szCs w:val="24"/>
          <w:lang w:eastAsia="es-CO"/>
        </w:rPr>
        <w:t>9</w:t>
      </w:r>
      <w:r w:rsidRPr="00046EA5">
        <w:rPr>
          <w:rFonts w:ascii="Century Gothic" w:eastAsia="Times New Roman" w:hAnsi="Century Gothic" w:cs="Arial"/>
          <w:color w:val="000000" w:themeColor="text1"/>
          <w:sz w:val="24"/>
          <w:szCs w:val="24"/>
          <w:lang w:eastAsia="es-CO"/>
        </w:rPr>
        <w:t xml:space="preserve">, tendrán derecho a que se les ajuste en el mismo porcentaje en que se haya ajustado el del activo correspondiente, por razón del incremento de </w:t>
      </w:r>
      <w:r w:rsidRPr="00046EA5">
        <w:rPr>
          <w:rFonts w:ascii="Century Gothic" w:eastAsia="Times New Roman" w:hAnsi="Century Gothic" w:cs="Arial"/>
          <w:color w:val="000000" w:themeColor="text1"/>
          <w:sz w:val="24"/>
          <w:szCs w:val="24"/>
          <w:lang w:eastAsia="es-CO"/>
        </w:rPr>
        <w:lastRenderedPageBreak/>
        <w:t xml:space="preserve">que trata el artículo 2° de la presente ley que modifica el artículo 30 del Decreto 1213 de 1990.  </w:t>
      </w:r>
    </w:p>
    <w:p w:rsidR="000C71F4" w:rsidRPr="00046EA5" w:rsidRDefault="000C71F4" w:rsidP="006B765D">
      <w:pPr>
        <w:shd w:val="clear" w:color="auto" w:fill="FFFFFF"/>
        <w:spacing w:before="100" w:beforeAutospacing="1" w:after="100" w:afterAutospacing="1" w:line="384" w:lineRule="auto"/>
        <w:jc w:val="both"/>
        <w:rPr>
          <w:rFonts w:ascii="Century Gothic" w:eastAsia="Times New Roman" w:hAnsi="Century Gothic" w:cs="Arial"/>
          <w:color w:val="000000" w:themeColor="text1"/>
          <w:sz w:val="24"/>
          <w:szCs w:val="24"/>
          <w:lang w:eastAsia="es-CO"/>
        </w:rPr>
      </w:pPr>
      <w:r w:rsidRPr="00046EA5">
        <w:rPr>
          <w:rFonts w:ascii="Century Gothic" w:eastAsia="Times New Roman" w:hAnsi="Century Gothic" w:cs="Arial"/>
          <w:color w:val="000000" w:themeColor="text1"/>
          <w:sz w:val="24"/>
          <w:szCs w:val="24"/>
          <w:lang w:eastAsia="es-CO"/>
        </w:rPr>
        <w:t xml:space="preserve">En consecuencia, es necesario establecer una norma expresa que permita dar un tratamiento </w:t>
      </w:r>
      <w:r w:rsidR="00092C74" w:rsidRPr="00046EA5">
        <w:rPr>
          <w:rFonts w:ascii="Century Gothic" w:eastAsia="Times New Roman" w:hAnsi="Century Gothic" w:cs="Arial"/>
          <w:color w:val="000000" w:themeColor="text1"/>
          <w:sz w:val="24"/>
          <w:szCs w:val="24"/>
          <w:lang w:eastAsia="es-CO"/>
        </w:rPr>
        <w:t xml:space="preserve">excepcional </w:t>
      </w:r>
      <w:r w:rsidRPr="00046EA5">
        <w:rPr>
          <w:rFonts w:ascii="Century Gothic" w:eastAsia="Times New Roman" w:hAnsi="Century Gothic" w:cs="Arial"/>
          <w:color w:val="000000" w:themeColor="text1"/>
          <w:sz w:val="24"/>
          <w:szCs w:val="24"/>
          <w:lang w:eastAsia="es-CO"/>
        </w:rPr>
        <w:t>a los Agentes de la Policía Nacional e</w:t>
      </w:r>
      <w:r w:rsidR="00092C74" w:rsidRPr="00046EA5">
        <w:rPr>
          <w:rFonts w:ascii="Century Gothic" w:eastAsia="Times New Roman" w:hAnsi="Century Gothic" w:cs="Arial"/>
          <w:color w:val="000000" w:themeColor="text1"/>
          <w:sz w:val="24"/>
          <w:szCs w:val="24"/>
          <w:lang w:eastAsia="es-CO"/>
        </w:rPr>
        <w:t xml:space="preserve">n lo referente a los retirados con anterioridad al </w:t>
      </w:r>
      <w:r w:rsidR="00932903">
        <w:rPr>
          <w:rFonts w:ascii="Century Gothic" w:eastAsia="Times New Roman" w:hAnsi="Century Gothic" w:cs="Arial"/>
          <w:color w:val="000000" w:themeColor="text1"/>
          <w:sz w:val="24"/>
          <w:szCs w:val="24"/>
          <w:lang w:eastAsia="es-CO"/>
        </w:rPr>
        <w:t xml:space="preserve">31 </w:t>
      </w:r>
      <w:r w:rsidRPr="00046EA5">
        <w:rPr>
          <w:rFonts w:ascii="Century Gothic" w:eastAsia="Times New Roman" w:hAnsi="Century Gothic" w:cs="Arial"/>
          <w:color w:val="000000" w:themeColor="text1"/>
          <w:sz w:val="24"/>
          <w:szCs w:val="24"/>
          <w:lang w:eastAsia="es-CO"/>
        </w:rPr>
        <w:t xml:space="preserve">de </w:t>
      </w:r>
      <w:r w:rsidR="00932903">
        <w:rPr>
          <w:rFonts w:ascii="Century Gothic" w:eastAsia="Times New Roman" w:hAnsi="Century Gothic" w:cs="Arial"/>
          <w:color w:val="000000" w:themeColor="text1"/>
          <w:sz w:val="24"/>
          <w:szCs w:val="24"/>
          <w:lang w:eastAsia="es-CO"/>
        </w:rPr>
        <w:t xml:space="preserve">diciembre </w:t>
      </w:r>
      <w:r w:rsidRPr="00046EA5">
        <w:rPr>
          <w:rFonts w:ascii="Century Gothic" w:eastAsia="Times New Roman" w:hAnsi="Century Gothic" w:cs="Arial"/>
          <w:color w:val="000000" w:themeColor="text1"/>
          <w:sz w:val="24"/>
          <w:szCs w:val="24"/>
          <w:lang w:eastAsia="es-CO"/>
        </w:rPr>
        <w:t>de</w:t>
      </w:r>
      <w:r w:rsidR="00932903">
        <w:rPr>
          <w:rFonts w:ascii="Century Gothic" w:eastAsia="Times New Roman" w:hAnsi="Century Gothic" w:cs="Arial"/>
          <w:color w:val="000000" w:themeColor="text1"/>
          <w:sz w:val="24"/>
          <w:szCs w:val="24"/>
          <w:lang w:eastAsia="es-CO"/>
        </w:rPr>
        <w:t xml:space="preserve"> 2019</w:t>
      </w:r>
      <w:r w:rsidRPr="00046EA5">
        <w:rPr>
          <w:rFonts w:ascii="Century Gothic" w:eastAsia="Times New Roman" w:hAnsi="Century Gothic" w:cs="Arial"/>
          <w:color w:val="000000" w:themeColor="text1"/>
          <w:sz w:val="24"/>
          <w:szCs w:val="24"/>
          <w:lang w:eastAsia="es-CO"/>
        </w:rPr>
        <w:t xml:space="preserve"> a tí</w:t>
      </w:r>
      <w:r w:rsidR="00092C74" w:rsidRPr="00046EA5">
        <w:rPr>
          <w:rFonts w:ascii="Century Gothic" w:eastAsia="Times New Roman" w:hAnsi="Century Gothic" w:cs="Arial"/>
          <w:color w:val="000000" w:themeColor="text1"/>
          <w:sz w:val="24"/>
          <w:szCs w:val="24"/>
          <w:lang w:eastAsia="es-CO"/>
        </w:rPr>
        <w:t xml:space="preserve">tulo de compensación para de alguna manera retribuir los desfases entre lo devengado por concepto de prima de actividad en servicio activo y el porcentaje reconocido en la respectiva pensión o asignación de retiro. </w:t>
      </w:r>
    </w:p>
    <w:bookmarkEnd w:id="2"/>
    <w:p w:rsidR="000C71F4" w:rsidRPr="00046EA5" w:rsidRDefault="004574C5" w:rsidP="006B765D">
      <w:pPr>
        <w:shd w:val="clear" w:color="auto" w:fill="FFFFFF"/>
        <w:spacing w:after="0" w:line="384" w:lineRule="auto"/>
        <w:jc w:val="both"/>
        <w:textAlignment w:val="baseline"/>
        <w:rPr>
          <w:rFonts w:ascii="Century Gothic" w:hAnsi="Century Gothic"/>
          <w:b/>
          <w:color w:val="000000" w:themeColor="text1"/>
          <w:sz w:val="24"/>
          <w:szCs w:val="24"/>
        </w:rPr>
      </w:pPr>
      <w:r w:rsidRPr="00046EA5">
        <w:rPr>
          <w:rFonts w:ascii="Century Gothic" w:hAnsi="Century Gothic"/>
          <w:b/>
          <w:color w:val="000000" w:themeColor="text1"/>
          <w:sz w:val="24"/>
          <w:szCs w:val="24"/>
        </w:rPr>
        <w:t>MARCO</w:t>
      </w:r>
      <w:r w:rsidRPr="00046EA5">
        <w:rPr>
          <w:rStyle w:val="baj"/>
          <w:rFonts w:ascii="Century Gothic" w:eastAsia="Times New Roman" w:hAnsi="Century Gothic" w:cs="Arial"/>
          <w:b/>
          <w:bCs/>
          <w:color w:val="000000" w:themeColor="text1"/>
          <w:sz w:val="24"/>
          <w:szCs w:val="24"/>
          <w:lang w:eastAsia="es-CO"/>
        </w:rPr>
        <w:t xml:space="preserve"> NORMATIVO </w:t>
      </w:r>
    </w:p>
    <w:p w:rsidR="000C71F4" w:rsidRPr="00046EA5" w:rsidRDefault="000C71F4" w:rsidP="006B765D">
      <w:pPr>
        <w:shd w:val="clear" w:color="auto" w:fill="FFFFFF"/>
        <w:spacing w:after="0" w:line="384" w:lineRule="auto"/>
        <w:jc w:val="both"/>
        <w:textAlignment w:val="baseline"/>
        <w:rPr>
          <w:rFonts w:ascii="Century Gothic" w:hAnsi="Century Gothic"/>
          <w:b/>
          <w:color w:val="000000" w:themeColor="text1"/>
          <w:sz w:val="24"/>
          <w:szCs w:val="24"/>
        </w:rPr>
      </w:pPr>
    </w:p>
    <w:p w:rsidR="000C71F4" w:rsidRPr="00046EA5" w:rsidRDefault="000C71F4" w:rsidP="006B765D">
      <w:pPr>
        <w:shd w:val="clear" w:color="auto" w:fill="FFFFFF"/>
        <w:spacing w:after="0" w:line="384" w:lineRule="auto"/>
        <w:jc w:val="both"/>
        <w:textAlignment w:val="baseline"/>
        <w:rPr>
          <w:rFonts w:ascii="Century Gothic" w:hAnsi="Century Gothic"/>
          <w:color w:val="000000" w:themeColor="text1"/>
          <w:sz w:val="24"/>
          <w:szCs w:val="24"/>
        </w:rPr>
      </w:pPr>
      <w:r w:rsidRPr="00046EA5">
        <w:rPr>
          <w:rFonts w:ascii="Century Gothic" w:hAnsi="Century Gothic"/>
          <w:color w:val="000000" w:themeColor="text1"/>
          <w:sz w:val="24"/>
          <w:szCs w:val="24"/>
        </w:rPr>
        <w:t>Este Proyecto de Ley tiene como fundamentos jurídicos, entre otros, las siguientes disposiciones constitucionales y legales:</w:t>
      </w:r>
    </w:p>
    <w:p w:rsidR="000C71F4" w:rsidRPr="00046EA5" w:rsidRDefault="000C71F4" w:rsidP="006B765D">
      <w:pPr>
        <w:pStyle w:val="centrado"/>
        <w:numPr>
          <w:ilvl w:val="0"/>
          <w:numId w:val="4"/>
        </w:numPr>
        <w:spacing w:line="384" w:lineRule="auto"/>
        <w:jc w:val="both"/>
        <w:rPr>
          <w:rStyle w:val="baj"/>
          <w:rFonts w:ascii="Century Gothic" w:hAnsi="Century Gothic" w:cs="Arial"/>
          <w:b/>
          <w:bCs/>
          <w:color w:val="000000" w:themeColor="text1"/>
        </w:rPr>
      </w:pPr>
      <w:r w:rsidRPr="00046EA5">
        <w:rPr>
          <w:rStyle w:val="baj"/>
          <w:rFonts w:ascii="Century Gothic" w:hAnsi="Century Gothic" w:cs="Arial"/>
          <w:b/>
          <w:bCs/>
          <w:color w:val="000000" w:themeColor="text1"/>
        </w:rPr>
        <w:t>CONSTITUCIÓN POLÍTICA DE COLOMBIA:</w:t>
      </w:r>
    </w:p>
    <w:p w:rsidR="000C71F4" w:rsidRPr="00046EA5" w:rsidRDefault="000C71F4" w:rsidP="006B765D">
      <w:pPr>
        <w:pStyle w:val="centrado"/>
        <w:spacing w:line="384" w:lineRule="auto"/>
        <w:jc w:val="both"/>
        <w:rPr>
          <w:rFonts w:ascii="Century Gothic" w:hAnsi="Century Gothic" w:cs="Arial"/>
          <w:i/>
          <w:color w:val="000000" w:themeColor="text1"/>
          <w:shd w:val="clear" w:color="auto" w:fill="FFFFFF"/>
        </w:rPr>
      </w:pPr>
      <w:r w:rsidRPr="00046EA5">
        <w:rPr>
          <w:rFonts w:ascii="Century Gothic" w:hAnsi="Century Gothic" w:cs="Arial"/>
          <w:b/>
          <w:bCs/>
          <w:i/>
          <w:color w:val="000000" w:themeColor="text1"/>
          <w:shd w:val="clear" w:color="auto" w:fill="FFFFFF"/>
        </w:rPr>
        <w:t>ARTICULO </w:t>
      </w:r>
      <w:bookmarkStart w:id="6" w:name="BM150"/>
      <w:r w:rsidRPr="00046EA5">
        <w:rPr>
          <w:rFonts w:ascii="Century Gothic" w:hAnsi="Century Gothic" w:cs="Arial"/>
          <w:b/>
          <w:bCs/>
          <w:i/>
          <w:color w:val="000000" w:themeColor="text1"/>
          <w:shd w:val="clear" w:color="auto" w:fill="FFFFFF"/>
        </w:rPr>
        <w:t> </w:t>
      </w:r>
      <w:bookmarkStart w:id="7" w:name="150"/>
      <w:bookmarkEnd w:id="6"/>
      <w:r w:rsidRPr="00046EA5">
        <w:rPr>
          <w:rFonts w:ascii="Century Gothic" w:hAnsi="Century Gothic" w:cs="Arial"/>
          <w:b/>
          <w:bCs/>
          <w:i/>
          <w:color w:val="000000" w:themeColor="text1"/>
          <w:shd w:val="clear" w:color="auto" w:fill="FFFFFF"/>
        </w:rPr>
        <w:t> </w:t>
      </w:r>
      <w:bookmarkEnd w:id="7"/>
      <w:r w:rsidRPr="00046EA5">
        <w:rPr>
          <w:rFonts w:ascii="Century Gothic" w:hAnsi="Century Gothic" w:cs="Arial"/>
          <w:b/>
          <w:bCs/>
          <w:i/>
          <w:color w:val="000000" w:themeColor="text1"/>
          <w:shd w:val="clear" w:color="auto" w:fill="FFFFFF"/>
        </w:rPr>
        <w:t>150.</w:t>
      </w:r>
      <w:r w:rsidRPr="00046EA5">
        <w:rPr>
          <w:rStyle w:val="apple-converted-space"/>
          <w:rFonts w:ascii="Century Gothic" w:hAnsi="Century Gothic" w:cs="Arial"/>
          <w:b/>
          <w:bCs/>
          <w:i/>
          <w:color w:val="000000" w:themeColor="text1"/>
          <w:shd w:val="clear" w:color="auto" w:fill="FFFFFF"/>
        </w:rPr>
        <w:t> </w:t>
      </w:r>
      <w:r w:rsidRPr="00046EA5">
        <w:rPr>
          <w:rFonts w:ascii="Century Gothic" w:hAnsi="Century Gothic" w:cs="Arial"/>
          <w:i/>
          <w:color w:val="000000" w:themeColor="text1"/>
          <w:shd w:val="clear" w:color="auto" w:fill="FFFFFF"/>
        </w:rPr>
        <w:t>Corresponde al Congreso hacer las leyes. Por medio de ellas ejerce las siguientes funciones:</w:t>
      </w:r>
    </w:p>
    <w:p w:rsidR="000C71F4" w:rsidRPr="00046EA5" w:rsidRDefault="000C71F4" w:rsidP="006B765D">
      <w:pPr>
        <w:pStyle w:val="centrado"/>
        <w:spacing w:line="384" w:lineRule="auto"/>
        <w:jc w:val="both"/>
        <w:rPr>
          <w:rFonts w:ascii="Century Gothic" w:hAnsi="Century Gothic" w:cs="Arial"/>
          <w:i/>
          <w:color w:val="000000" w:themeColor="text1"/>
          <w:shd w:val="clear" w:color="auto" w:fill="FFFFFF"/>
        </w:rPr>
      </w:pPr>
      <w:r w:rsidRPr="00046EA5">
        <w:rPr>
          <w:rFonts w:ascii="Century Gothic" w:hAnsi="Century Gothic" w:cs="Arial"/>
          <w:i/>
          <w:color w:val="000000" w:themeColor="text1"/>
          <w:shd w:val="clear" w:color="auto" w:fill="FFFFFF"/>
        </w:rPr>
        <w:t>1. Interpretar, reformar y derogar las leyes.</w:t>
      </w:r>
    </w:p>
    <w:p w:rsidR="000C71F4" w:rsidRPr="00046EA5" w:rsidRDefault="000C71F4" w:rsidP="006B765D">
      <w:pPr>
        <w:pStyle w:val="NormalWeb"/>
        <w:shd w:val="clear" w:color="auto" w:fill="FFFFFF"/>
        <w:spacing w:line="384" w:lineRule="auto"/>
        <w:jc w:val="both"/>
        <w:rPr>
          <w:rFonts w:ascii="Century Gothic" w:hAnsi="Century Gothic" w:cs="Arial"/>
          <w:i/>
          <w:color w:val="000000" w:themeColor="text1"/>
        </w:rPr>
      </w:pPr>
      <w:r w:rsidRPr="00046EA5">
        <w:rPr>
          <w:rFonts w:ascii="Century Gothic" w:hAnsi="Century Gothic" w:cs="Arial"/>
          <w:i/>
          <w:color w:val="000000" w:themeColor="text1"/>
        </w:rPr>
        <w:t>10. […] El Congreso podrá, en todo tiempo y por iniciativa propia, modificar los decretos leyes dictados por el Gobierno en uso de facultades extraordinarias.</w:t>
      </w:r>
      <w:r w:rsidRPr="00046EA5">
        <w:rPr>
          <w:rFonts w:ascii="Century Gothic" w:hAnsi="Century Gothic" w:cs="Arial"/>
          <w:i/>
          <w:color w:val="000000" w:themeColor="text1"/>
          <w:u w:val="single"/>
        </w:rPr>
        <w:t xml:space="preserve"> </w:t>
      </w:r>
      <w:r w:rsidRPr="00046EA5">
        <w:rPr>
          <w:rFonts w:ascii="Century Gothic" w:hAnsi="Century Gothic" w:cs="Arial"/>
          <w:i/>
          <w:color w:val="000000" w:themeColor="text1"/>
        </w:rPr>
        <w:t>[…]</w:t>
      </w:r>
    </w:p>
    <w:p w:rsidR="000C71F4" w:rsidRPr="00046EA5" w:rsidRDefault="000C71F4" w:rsidP="006B765D">
      <w:pPr>
        <w:pStyle w:val="NormalWeb"/>
        <w:shd w:val="clear" w:color="auto" w:fill="FFFFFF"/>
        <w:spacing w:line="384" w:lineRule="auto"/>
        <w:jc w:val="both"/>
        <w:rPr>
          <w:rFonts w:ascii="Century Gothic" w:hAnsi="Century Gothic" w:cs="Arial"/>
          <w:i/>
          <w:color w:val="000000" w:themeColor="text1"/>
        </w:rPr>
      </w:pPr>
      <w:r w:rsidRPr="00046EA5">
        <w:rPr>
          <w:rFonts w:ascii="Century Gothic" w:hAnsi="Century Gothic" w:cs="Arial"/>
          <w:b/>
          <w:bCs/>
          <w:i/>
          <w:color w:val="000000" w:themeColor="text1"/>
        </w:rPr>
        <w:t>ARTICULO </w:t>
      </w:r>
      <w:bookmarkStart w:id="8" w:name="218"/>
      <w:r w:rsidRPr="00046EA5">
        <w:rPr>
          <w:rFonts w:ascii="Century Gothic" w:hAnsi="Century Gothic" w:cs="Arial"/>
          <w:b/>
          <w:bCs/>
          <w:i/>
          <w:color w:val="000000" w:themeColor="text1"/>
        </w:rPr>
        <w:t> </w:t>
      </w:r>
      <w:bookmarkEnd w:id="8"/>
      <w:r w:rsidRPr="00046EA5">
        <w:rPr>
          <w:rFonts w:ascii="Century Gothic" w:hAnsi="Century Gothic" w:cs="Arial"/>
          <w:b/>
          <w:bCs/>
          <w:i/>
          <w:color w:val="000000" w:themeColor="text1"/>
        </w:rPr>
        <w:t>218.</w:t>
      </w:r>
      <w:r w:rsidRPr="00046EA5">
        <w:rPr>
          <w:rStyle w:val="apple-converted-space"/>
          <w:rFonts w:ascii="Century Gothic" w:hAnsi="Century Gothic" w:cs="Arial"/>
          <w:b/>
          <w:bCs/>
          <w:i/>
          <w:color w:val="000000" w:themeColor="text1"/>
        </w:rPr>
        <w:t> </w:t>
      </w:r>
      <w:r w:rsidRPr="00046EA5">
        <w:rPr>
          <w:rFonts w:ascii="Century Gothic" w:hAnsi="Century Gothic" w:cs="Arial"/>
          <w:i/>
          <w:color w:val="000000" w:themeColor="text1"/>
        </w:rPr>
        <w:t>La ley organizará el cuerpo de Policía.</w:t>
      </w:r>
    </w:p>
    <w:p w:rsidR="000C71F4" w:rsidRPr="00046EA5" w:rsidRDefault="000C71F4" w:rsidP="006B765D">
      <w:pPr>
        <w:pStyle w:val="NormalWeb"/>
        <w:shd w:val="clear" w:color="auto" w:fill="FFFFFF"/>
        <w:spacing w:line="384" w:lineRule="auto"/>
        <w:jc w:val="both"/>
        <w:rPr>
          <w:rFonts w:ascii="Century Gothic" w:hAnsi="Century Gothic" w:cs="Arial"/>
          <w:i/>
          <w:color w:val="000000" w:themeColor="text1"/>
        </w:rPr>
      </w:pPr>
      <w:r w:rsidRPr="00046EA5">
        <w:rPr>
          <w:rFonts w:ascii="Century Gothic" w:hAnsi="Century Gothic" w:cs="Arial"/>
          <w:i/>
          <w:color w:val="000000" w:themeColor="text1"/>
        </w:rPr>
        <w:lastRenderedPageBreak/>
        <w:t>La Policía Nacional es un cuerpo armado permanente de naturaleza civil, a cargo de la Nación, cuyo fin primordial es el mantenimiento de las condiciones necesarias para el ejercicio de los derechos y libertades públicas, y para asegurar que los habitantes de Colombia convivan en paz.</w:t>
      </w:r>
    </w:p>
    <w:p w:rsidR="00DF2249" w:rsidRPr="00046EA5" w:rsidRDefault="000C71F4" w:rsidP="006B765D">
      <w:pPr>
        <w:pStyle w:val="NormalWeb"/>
        <w:shd w:val="clear" w:color="auto" w:fill="FFFFFF"/>
        <w:spacing w:line="384" w:lineRule="auto"/>
        <w:jc w:val="both"/>
        <w:rPr>
          <w:rFonts w:ascii="Century Gothic" w:hAnsi="Century Gothic" w:cs="Arial"/>
          <w:i/>
          <w:color w:val="000000" w:themeColor="text1"/>
        </w:rPr>
      </w:pPr>
      <w:r w:rsidRPr="00046EA5">
        <w:rPr>
          <w:rFonts w:ascii="Century Gothic" w:hAnsi="Century Gothic" w:cs="Arial"/>
          <w:i/>
          <w:color w:val="000000" w:themeColor="text1"/>
        </w:rPr>
        <w:t>La ley determinará su régimen de carrera, prestacional y discip</w:t>
      </w:r>
      <w:r w:rsidR="007F76FE" w:rsidRPr="00046EA5">
        <w:rPr>
          <w:rFonts w:ascii="Century Gothic" w:hAnsi="Century Gothic" w:cs="Arial"/>
          <w:i/>
          <w:color w:val="000000" w:themeColor="text1"/>
        </w:rPr>
        <w:t>linario.</w:t>
      </w:r>
    </w:p>
    <w:p w:rsidR="007A444C" w:rsidRPr="00046EA5" w:rsidRDefault="00CB4B4D" w:rsidP="006B765D">
      <w:pPr>
        <w:pStyle w:val="NormalWeb"/>
        <w:numPr>
          <w:ilvl w:val="0"/>
          <w:numId w:val="4"/>
        </w:numPr>
        <w:shd w:val="clear" w:color="auto" w:fill="FFFFFF"/>
        <w:spacing w:line="384" w:lineRule="auto"/>
        <w:jc w:val="both"/>
        <w:rPr>
          <w:rFonts w:ascii="Century Gothic" w:hAnsi="Century Gothic" w:cs="Arial"/>
          <w:color w:val="000000" w:themeColor="text1"/>
        </w:rPr>
      </w:pPr>
      <w:r w:rsidRPr="00046EA5">
        <w:rPr>
          <w:rFonts w:ascii="Century Gothic" w:hAnsi="Century Gothic" w:cs="Arial"/>
          <w:b/>
          <w:color w:val="000000" w:themeColor="text1"/>
        </w:rPr>
        <w:t>Decreto 1213 de 1990</w:t>
      </w:r>
      <w:r w:rsidRPr="00046EA5">
        <w:rPr>
          <w:rFonts w:ascii="Century Gothic" w:hAnsi="Century Gothic" w:cs="Arial"/>
          <w:color w:val="000000" w:themeColor="text1"/>
        </w:rPr>
        <w:t xml:space="preserve"> “</w:t>
      </w:r>
      <w:r w:rsidRPr="00046EA5">
        <w:rPr>
          <w:rFonts w:ascii="Century Gothic" w:hAnsi="Century Gothic" w:cs="Arial"/>
          <w:i/>
          <w:color w:val="000000" w:themeColor="text1"/>
        </w:rPr>
        <w:t xml:space="preserve">Por el cual se reforma el estatuto del personal de agentes de la </w:t>
      </w:r>
      <w:proofErr w:type="spellStart"/>
      <w:r w:rsidRPr="00046EA5">
        <w:rPr>
          <w:rFonts w:ascii="Century Gothic" w:hAnsi="Century Gothic" w:cs="Arial"/>
          <w:i/>
          <w:color w:val="000000" w:themeColor="text1"/>
        </w:rPr>
        <w:t>Policia</w:t>
      </w:r>
      <w:proofErr w:type="spellEnd"/>
      <w:r w:rsidRPr="00046EA5">
        <w:rPr>
          <w:rFonts w:ascii="Century Gothic" w:hAnsi="Century Gothic" w:cs="Arial"/>
          <w:i/>
          <w:color w:val="000000" w:themeColor="text1"/>
        </w:rPr>
        <w:t xml:space="preserve"> Nacional.”</w:t>
      </w:r>
    </w:p>
    <w:p w:rsidR="007F76FE" w:rsidRPr="00046EA5" w:rsidRDefault="007F76FE" w:rsidP="006B765D">
      <w:pPr>
        <w:pStyle w:val="NormalWeb"/>
        <w:shd w:val="clear" w:color="auto" w:fill="FFFFFF"/>
        <w:spacing w:line="384" w:lineRule="auto"/>
        <w:jc w:val="both"/>
        <w:rPr>
          <w:rFonts w:ascii="Century Gothic" w:hAnsi="Century Gothic"/>
          <w:color w:val="000000" w:themeColor="text1"/>
        </w:rPr>
      </w:pPr>
      <w:r w:rsidRPr="00046EA5">
        <w:rPr>
          <w:rFonts w:ascii="Century Gothic" w:hAnsi="Century Gothic"/>
          <w:color w:val="000000" w:themeColor="text1"/>
        </w:rPr>
        <w:t>Presentado por:</w:t>
      </w:r>
    </w:p>
    <w:p w:rsidR="007F76FE" w:rsidRPr="00046EA5" w:rsidRDefault="007F76FE" w:rsidP="006B765D">
      <w:pPr>
        <w:spacing w:after="0" w:line="384" w:lineRule="auto"/>
        <w:rPr>
          <w:rFonts w:ascii="Century Gothic" w:hAnsi="Century Gothic"/>
          <w:b/>
          <w:color w:val="000000" w:themeColor="text1"/>
          <w:sz w:val="24"/>
          <w:szCs w:val="24"/>
        </w:rPr>
      </w:pPr>
    </w:p>
    <w:p w:rsidR="007F76FE" w:rsidRPr="00046EA5" w:rsidRDefault="007F76FE" w:rsidP="006B765D">
      <w:pPr>
        <w:spacing w:after="0" w:line="384" w:lineRule="auto"/>
        <w:rPr>
          <w:rFonts w:ascii="Century Gothic" w:hAnsi="Century Gothic"/>
          <w:b/>
          <w:color w:val="000000" w:themeColor="text1"/>
          <w:sz w:val="24"/>
          <w:szCs w:val="24"/>
        </w:rPr>
      </w:pPr>
    </w:p>
    <w:p w:rsidR="007F76FE" w:rsidRPr="00046EA5" w:rsidRDefault="007F76FE" w:rsidP="006B765D">
      <w:pPr>
        <w:spacing w:after="0" w:line="384" w:lineRule="auto"/>
        <w:rPr>
          <w:rFonts w:ascii="Century Gothic" w:hAnsi="Century Gothic"/>
          <w:b/>
          <w:color w:val="000000" w:themeColor="text1"/>
          <w:sz w:val="24"/>
          <w:szCs w:val="24"/>
        </w:rPr>
      </w:pPr>
    </w:p>
    <w:p w:rsidR="007F76FE" w:rsidRPr="00046EA5" w:rsidRDefault="007F76FE" w:rsidP="006B765D">
      <w:pPr>
        <w:spacing w:after="0" w:line="384" w:lineRule="auto"/>
        <w:rPr>
          <w:rFonts w:ascii="Century Gothic" w:hAnsi="Century Gothic"/>
          <w:b/>
          <w:color w:val="000000" w:themeColor="text1"/>
          <w:sz w:val="24"/>
          <w:szCs w:val="24"/>
        </w:rPr>
      </w:pPr>
      <w:r w:rsidRPr="00046EA5">
        <w:rPr>
          <w:rFonts w:ascii="Century Gothic" w:hAnsi="Century Gothic"/>
          <w:b/>
          <w:color w:val="000000" w:themeColor="text1"/>
          <w:sz w:val="24"/>
          <w:szCs w:val="24"/>
        </w:rPr>
        <w:t>ERNESTO MACÍAS TOVAR</w:t>
      </w:r>
    </w:p>
    <w:p w:rsidR="007F76FE" w:rsidRDefault="007F76FE" w:rsidP="006B765D">
      <w:pPr>
        <w:spacing w:line="384" w:lineRule="auto"/>
        <w:rPr>
          <w:rFonts w:ascii="Century Gothic" w:hAnsi="Century Gothic"/>
          <w:b/>
          <w:color w:val="000000" w:themeColor="text1"/>
          <w:sz w:val="24"/>
          <w:szCs w:val="24"/>
        </w:rPr>
      </w:pPr>
      <w:r w:rsidRPr="00046EA5">
        <w:rPr>
          <w:rFonts w:ascii="Century Gothic" w:hAnsi="Century Gothic"/>
          <w:b/>
          <w:color w:val="000000" w:themeColor="text1"/>
          <w:sz w:val="24"/>
          <w:szCs w:val="24"/>
        </w:rPr>
        <w:t>Senador de la República</w:t>
      </w:r>
    </w:p>
    <w:p w:rsidR="00D7646D" w:rsidRDefault="00D7646D" w:rsidP="006B765D">
      <w:pPr>
        <w:spacing w:line="384" w:lineRule="auto"/>
        <w:rPr>
          <w:rFonts w:ascii="Century Gothic" w:hAnsi="Century Gothic"/>
          <w:b/>
          <w:color w:val="000000" w:themeColor="text1"/>
          <w:sz w:val="24"/>
          <w:szCs w:val="24"/>
        </w:rPr>
      </w:pPr>
    </w:p>
    <w:p w:rsidR="00D7646D" w:rsidRDefault="00D7646D" w:rsidP="006B765D">
      <w:pPr>
        <w:spacing w:line="384" w:lineRule="auto"/>
        <w:rPr>
          <w:rFonts w:ascii="Century Gothic" w:hAnsi="Century Gothic"/>
          <w:b/>
          <w:color w:val="000000" w:themeColor="text1"/>
          <w:sz w:val="24"/>
          <w:szCs w:val="24"/>
        </w:rPr>
      </w:pPr>
    </w:p>
    <w:p w:rsidR="00D7646D" w:rsidRDefault="00D7646D" w:rsidP="006B765D">
      <w:pPr>
        <w:spacing w:line="384" w:lineRule="auto"/>
        <w:rPr>
          <w:rFonts w:ascii="Century Gothic" w:hAnsi="Century Gothic"/>
          <w:b/>
          <w:color w:val="000000" w:themeColor="text1"/>
          <w:sz w:val="24"/>
          <w:szCs w:val="24"/>
        </w:rPr>
      </w:pPr>
    </w:p>
    <w:p w:rsidR="00D7646D" w:rsidRDefault="00D7646D" w:rsidP="006B765D">
      <w:pPr>
        <w:spacing w:line="384" w:lineRule="auto"/>
        <w:rPr>
          <w:rFonts w:ascii="Century Gothic" w:hAnsi="Century Gothic"/>
          <w:b/>
          <w:color w:val="000000" w:themeColor="text1"/>
          <w:sz w:val="24"/>
          <w:szCs w:val="24"/>
        </w:rPr>
      </w:pPr>
    </w:p>
    <w:p w:rsidR="00D7646D" w:rsidRDefault="00D7646D" w:rsidP="006B765D">
      <w:pPr>
        <w:spacing w:line="384" w:lineRule="auto"/>
        <w:rPr>
          <w:rFonts w:ascii="Century Gothic" w:hAnsi="Century Gothic"/>
          <w:b/>
          <w:color w:val="000000" w:themeColor="text1"/>
          <w:sz w:val="24"/>
          <w:szCs w:val="24"/>
        </w:rPr>
      </w:pPr>
    </w:p>
    <w:p w:rsidR="00D7646D" w:rsidRDefault="00D7646D" w:rsidP="006B765D">
      <w:pPr>
        <w:spacing w:line="384" w:lineRule="auto"/>
        <w:rPr>
          <w:rFonts w:ascii="Century Gothic" w:hAnsi="Century Gothic"/>
          <w:b/>
          <w:color w:val="000000" w:themeColor="text1"/>
          <w:sz w:val="24"/>
          <w:szCs w:val="24"/>
        </w:rPr>
      </w:pPr>
    </w:p>
    <w:p w:rsidR="00D7646D" w:rsidRPr="00D7646D" w:rsidRDefault="00D7646D" w:rsidP="00D7646D">
      <w:pPr>
        <w:spacing w:before="100" w:beforeAutospacing="1"/>
        <w:jc w:val="center"/>
        <w:rPr>
          <w:rFonts w:ascii="Century Gothic" w:eastAsia="Times New Roman" w:hAnsi="Century Gothic"/>
          <w:b/>
          <w:bCs/>
          <w:color w:val="000000" w:themeColor="text1"/>
          <w:lang w:eastAsia="es-ES"/>
        </w:rPr>
      </w:pPr>
      <w:r w:rsidRPr="00D7646D">
        <w:rPr>
          <w:rFonts w:ascii="Century Gothic" w:eastAsia="Times New Roman" w:hAnsi="Century Gothic"/>
          <w:b/>
          <w:bCs/>
          <w:color w:val="000000" w:themeColor="text1"/>
          <w:lang w:eastAsia="es-ES"/>
        </w:rPr>
        <w:lastRenderedPageBreak/>
        <w:t>PROYECTO DE LEY No.___ DE 2019 SENADO</w:t>
      </w:r>
    </w:p>
    <w:p w:rsidR="00D7646D" w:rsidRPr="00D7646D" w:rsidRDefault="00D7646D" w:rsidP="00D7646D">
      <w:pPr>
        <w:jc w:val="center"/>
        <w:rPr>
          <w:rFonts w:ascii="Century Gothic" w:hAnsi="Century Gothic" w:cs="Arial"/>
          <w:i/>
          <w:color w:val="000000" w:themeColor="text1"/>
        </w:rPr>
      </w:pPr>
    </w:p>
    <w:p w:rsidR="00D7646D" w:rsidRPr="00D7646D" w:rsidRDefault="00D7646D" w:rsidP="00D7646D">
      <w:pPr>
        <w:jc w:val="center"/>
        <w:rPr>
          <w:rFonts w:ascii="Century Gothic" w:hAnsi="Century Gothic"/>
          <w:i/>
          <w:color w:val="000000" w:themeColor="text1"/>
        </w:rPr>
      </w:pPr>
      <w:r w:rsidRPr="00D7646D">
        <w:rPr>
          <w:rFonts w:ascii="Century Gothic" w:hAnsi="Century Gothic" w:cs="Arial"/>
          <w:i/>
          <w:color w:val="000000" w:themeColor="text1"/>
        </w:rPr>
        <w:t>“Por medio de la cual se modifica el artículo 30 del Decreto 1213 de 1990 y se procede a modificar la prima de actividad para los Agentes de la Policía Nacional</w:t>
      </w:r>
      <w:r w:rsidRPr="00D7646D">
        <w:rPr>
          <w:rFonts w:ascii="Century Gothic" w:hAnsi="Century Gothic"/>
          <w:i/>
          <w:color w:val="000000" w:themeColor="text1"/>
        </w:rPr>
        <w:t>”</w:t>
      </w:r>
    </w:p>
    <w:p w:rsidR="00D7646D" w:rsidRPr="00D7646D" w:rsidRDefault="00D7646D" w:rsidP="00D7646D">
      <w:pPr>
        <w:spacing w:before="28" w:after="0"/>
        <w:jc w:val="center"/>
        <w:rPr>
          <w:rFonts w:ascii="Century Gothic" w:eastAsia="Times New Roman" w:hAnsi="Century Gothic"/>
          <w:b/>
          <w:color w:val="000000" w:themeColor="text1"/>
          <w:lang w:eastAsia="es-ES"/>
        </w:rPr>
      </w:pPr>
    </w:p>
    <w:p w:rsidR="00D7646D" w:rsidRPr="00D7646D" w:rsidRDefault="00D7646D" w:rsidP="00D7646D">
      <w:pPr>
        <w:spacing w:before="28" w:after="0"/>
        <w:jc w:val="center"/>
        <w:rPr>
          <w:rFonts w:ascii="Century Gothic" w:eastAsia="Times New Roman" w:hAnsi="Century Gothic"/>
          <w:b/>
          <w:color w:val="000000" w:themeColor="text1"/>
          <w:lang w:eastAsia="es-ES"/>
        </w:rPr>
      </w:pPr>
      <w:r w:rsidRPr="00D7646D">
        <w:rPr>
          <w:rFonts w:ascii="Century Gothic" w:eastAsia="Times New Roman" w:hAnsi="Century Gothic"/>
          <w:b/>
          <w:color w:val="000000" w:themeColor="text1"/>
          <w:lang w:eastAsia="es-ES"/>
        </w:rPr>
        <w:t>El Congreso de Colombia</w:t>
      </w:r>
    </w:p>
    <w:p w:rsidR="00D7646D" w:rsidRPr="00D7646D" w:rsidRDefault="00D7646D" w:rsidP="00D7646D">
      <w:pPr>
        <w:spacing w:before="28" w:after="0"/>
        <w:jc w:val="center"/>
        <w:rPr>
          <w:rFonts w:ascii="Century Gothic" w:eastAsia="Times New Roman" w:hAnsi="Century Gothic"/>
          <w:b/>
          <w:color w:val="000000" w:themeColor="text1"/>
          <w:lang w:eastAsia="es-ES"/>
        </w:rPr>
      </w:pPr>
    </w:p>
    <w:p w:rsidR="00D7646D" w:rsidRPr="00D7646D" w:rsidRDefault="00D7646D" w:rsidP="00D7646D">
      <w:pPr>
        <w:spacing w:before="28" w:after="0"/>
        <w:jc w:val="center"/>
        <w:rPr>
          <w:rFonts w:ascii="Century Gothic" w:eastAsia="Times New Roman" w:hAnsi="Century Gothic"/>
          <w:b/>
          <w:color w:val="000000" w:themeColor="text1"/>
          <w:lang w:eastAsia="es-ES"/>
        </w:rPr>
      </w:pPr>
      <w:r w:rsidRPr="00D7646D">
        <w:rPr>
          <w:rFonts w:ascii="Century Gothic" w:eastAsia="Times New Roman" w:hAnsi="Century Gothic"/>
          <w:b/>
          <w:color w:val="000000" w:themeColor="text1"/>
          <w:lang w:eastAsia="es-ES"/>
        </w:rPr>
        <w:t>DECRETA:</w:t>
      </w:r>
    </w:p>
    <w:p w:rsidR="00D7646D" w:rsidRPr="00D7646D" w:rsidRDefault="00D7646D" w:rsidP="00D7646D">
      <w:pPr>
        <w:spacing w:before="28" w:after="0"/>
        <w:jc w:val="center"/>
        <w:rPr>
          <w:rFonts w:ascii="Century Gothic" w:eastAsia="Times New Roman" w:hAnsi="Century Gothic"/>
          <w:b/>
          <w:color w:val="000000" w:themeColor="text1"/>
          <w:lang w:eastAsia="es-ES"/>
        </w:rPr>
      </w:pPr>
    </w:p>
    <w:p w:rsidR="00D7646D" w:rsidRPr="00D7646D" w:rsidRDefault="00D7646D" w:rsidP="00D7646D">
      <w:pPr>
        <w:spacing w:before="28" w:after="0"/>
        <w:jc w:val="both"/>
        <w:rPr>
          <w:rFonts w:ascii="Century Gothic" w:eastAsia="Times New Roman" w:hAnsi="Century Gothic"/>
          <w:color w:val="000000" w:themeColor="text1"/>
          <w:lang w:val="es-ES" w:eastAsia="es-ES"/>
        </w:rPr>
      </w:pPr>
      <w:r w:rsidRPr="00D7646D">
        <w:rPr>
          <w:rFonts w:ascii="Century Gothic" w:eastAsia="Times New Roman" w:hAnsi="Century Gothic"/>
          <w:b/>
          <w:color w:val="000000" w:themeColor="text1"/>
          <w:lang w:val="es-ES" w:eastAsia="es-ES"/>
        </w:rPr>
        <w:t>Artículo 1°.</w:t>
      </w:r>
      <w:r w:rsidRPr="00D7646D">
        <w:rPr>
          <w:rFonts w:ascii="Century Gothic" w:eastAsia="Times New Roman" w:hAnsi="Century Gothic"/>
          <w:color w:val="000000" w:themeColor="text1"/>
          <w:lang w:val="es-ES" w:eastAsia="es-ES"/>
        </w:rPr>
        <w:t xml:space="preserve"> </w:t>
      </w:r>
      <w:r w:rsidRPr="00D7646D">
        <w:rPr>
          <w:rFonts w:ascii="Century Gothic" w:eastAsia="Times New Roman" w:hAnsi="Century Gothic"/>
          <w:i/>
          <w:color w:val="000000" w:themeColor="text1"/>
          <w:lang w:val="es-ES" w:eastAsia="es-ES"/>
        </w:rPr>
        <w:t>Objeto.</w:t>
      </w:r>
      <w:r w:rsidRPr="00D7646D">
        <w:rPr>
          <w:rFonts w:ascii="Century Gothic" w:eastAsia="Times New Roman" w:hAnsi="Century Gothic"/>
          <w:color w:val="000000" w:themeColor="text1"/>
          <w:lang w:val="es-ES" w:eastAsia="es-ES"/>
        </w:rPr>
        <w:t xml:space="preserve"> La presente ley tiene por objeto aumentar la prima de actividad de los Agentes de la Policía Nacional, respondiendo a los principios de </w:t>
      </w:r>
      <w:r w:rsidRPr="00D7646D">
        <w:rPr>
          <w:rFonts w:ascii="Century Gothic" w:hAnsi="Century Gothic"/>
          <w:color w:val="000000" w:themeColor="text1"/>
        </w:rPr>
        <w:t>igualdad, equidad, responsabilidad financiera, intangibilidad y solidaridad contenidos en la Ley 923 de 2004.</w:t>
      </w:r>
    </w:p>
    <w:p w:rsidR="00D7646D" w:rsidRPr="00D7646D" w:rsidRDefault="00D7646D" w:rsidP="00D7646D">
      <w:pPr>
        <w:spacing w:before="28" w:after="0"/>
        <w:jc w:val="both"/>
        <w:rPr>
          <w:rFonts w:ascii="Century Gothic" w:eastAsia="Times New Roman" w:hAnsi="Century Gothic"/>
          <w:color w:val="000000" w:themeColor="text1"/>
          <w:lang w:val="es-ES" w:eastAsia="es-ES"/>
        </w:rPr>
      </w:pPr>
    </w:p>
    <w:p w:rsidR="00D7646D" w:rsidRPr="00D7646D" w:rsidRDefault="00D7646D" w:rsidP="00D7646D">
      <w:pPr>
        <w:spacing w:before="28" w:after="0"/>
        <w:jc w:val="both"/>
        <w:rPr>
          <w:rFonts w:ascii="Century Gothic" w:eastAsia="Times New Roman" w:hAnsi="Century Gothic"/>
          <w:color w:val="000000" w:themeColor="text1"/>
          <w:lang w:val="es-ES" w:eastAsia="es-ES"/>
        </w:rPr>
      </w:pPr>
      <w:r w:rsidRPr="00D7646D">
        <w:rPr>
          <w:rFonts w:ascii="Century Gothic" w:eastAsia="Times New Roman" w:hAnsi="Century Gothic"/>
          <w:b/>
          <w:color w:val="000000" w:themeColor="text1"/>
          <w:lang w:val="es-ES" w:eastAsia="es-ES"/>
        </w:rPr>
        <w:t>Artículo 2°.</w:t>
      </w:r>
      <w:r w:rsidRPr="00D7646D">
        <w:rPr>
          <w:rFonts w:ascii="Century Gothic" w:eastAsia="Times New Roman" w:hAnsi="Century Gothic"/>
          <w:color w:val="000000" w:themeColor="text1"/>
          <w:lang w:val="es-ES" w:eastAsia="es-ES"/>
        </w:rPr>
        <w:t xml:space="preserve"> Modifíquese el artículo 30 del Decreto 1213 de 1990, el cual </w:t>
      </w:r>
    </w:p>
    <w:p w:rsidR="00D7646D" w:rsidRPr="00D7646D" w:rsidRDefault="00D7646D" w:rsidP="00D7646D">
      <w:pPr>
        <w:spacing w:before="28" w:after="0"/>
        <w:jc w:val="both"/>
        <w:rPr>
          <w:rFonts w:ascii="Century Gothic" w:eastAsia="Times New Roman" w:hAnsi="Century Gothic"/>
          <w:color w:val="000000" w:themeColor="text1"/>
          <w:lang w:val="es-ES" w:eastAsia="es-ES"/>
        </w:rPr>
      </w:pPr>
      <w:proofErr w:type="gramStart"/>
      <w:r w:rsidRPr="00D7646D">
        <w:rPr>
          <w:rFonts w:ascii="Century Gothic" w:eastAsia="Times New Roman" w:hAnsi="Century Gothic"/>
          <w:color w:val="000000" w:themeColor="text1"/>
          <w:lang w:val="es-ES" w:eastAsia="es-ES"/>
        </w:rPr>
        <w:t>quedará</w:t>
      </w:r>
      <w:proofErr w:type="gramEnd"/>
      <w:r w:rsidRPr="00D7646D">
        <w:rPr>
          <w:rFonts w:ascii="Century Gothic" w:eastAsia="Times New Roman" w:hAnsi="Century Gothic"/>
          <w:color w:val="000000" w:themeColor="text1"/>
          <w:lang w:val="es-ES" w:eastAsia="es-ES"/>
        </w:rPr>
        <w:t xml:space="preserve"> así: </w:t>
      </w:r>
    </w:p>
    <w:p w:rsidR="00D7646D" w:rsidRPr="00D7646D" w:rsidRDefault="00D7646D" w:rsidP="00D7646D">
      <w:pPr>
        <w:spacing w:before="28" w:after="0"/>
        <w:jc w:val="both"/>
        <w:rPr>
          <w:rFonts w:ascii="Century Gothic" w:eastAsia="Times New Roman" w:hAnsi="Century Gothic"/>
          <w:color w:val="000000" w:themeColor="text1"/>
          <w:lang w:val="es-ES" w:eastAsia="es-ES"/>
        </w:rPr>
      </w:pPr>
    </w:p>
    <w:p w:rsidR="00D7646D" w:rsidRPr="00D7646D" w:rsidRDefault="00D7646D" w:rsidP="00D7646D">
      <w:pPr>
        <w:spacing w:before="28" w:after="0"/>
        <w:jc w:val="both"/>
        <w:rPr>
          <w:rFonts w:ascii="Century Gothic" w:eastAsia="Times New Roman" w:hAnsi="Century Gothic"/>
          <w:color w:val="000000" w:themeColor="text1"/>
          <w:lang w:val="es-ES" w:eastAsia="es-ES"/>
        </w:rPr>
      </w:pPr>
      <w:r w:rsidRPr="00D7646D">
        <w:rPr>
          <w:rFonts w:ascii="Century Gothic" w:eastAsia="Times New Roman" w:hAnsi="Century Gothic"/>
          <w:color w:val="000000" w:themeColor="text1"/>
          <w:lang w:val="es-ES" w:eastAsia="es-ES"/>
        </w:rPr>
        <w:t>ARTÍCULO 30. PRIMA DE ACTIVIDAD. Los Agentes de la Policía Nacional en servicio activo, tendrán derecho a una prima mensual de actividad, que será equivalente a cuarenta y nueve punto cinco por ciento (49.5%) del sueldo básico.</w:t>
      </w:r>
    </w:p>
    <w:p w:rsidR="00D7646D" w:rsidRPr="00D7646D" w:rsidRDefault="00D7646D" w:rsidP="00D7646D">
      <w:pPr>
        <w:spacing w:before="28" w:after="0"/>
        <w:jc w:val="both"/>
        <w:rPr>
          <w:rFonts w:ascii="Century Gothic" w:eastAsia="Times New Roman" w:hAnsi="Century Gothic"/>
          <w:color w:val="000000" w:themeColor="text1"/>
          <w:lang w:val="es-ES" w:eastAsia="es-ES"/>
        </w:rPr>
      </w:pPr>
    </w:p>
    <w:p w:rsidR="00D7646D" w:rsidRPr="00D7646D" w:rsidRDefault="00D7646D" w:rsidP="00D7646D">
      <w:pPr>
        <w:spacing w:before="28" w:after="0"/>
        <w:jc w:val="both"/>
        <w:rPr>
          <w:rFonts w:ascii="Century Gothic" w:eastAsia="Times New Roman" w:hAnsi="Century Gothic"/>
          <w:color w:val="000000" w:themeColor="text1"/>
          <w:lang w:val="es-ES" w:eastAsia="es-ES"/>
        </w:rPr>
      </w:pPr>
      <w:r w:rsidRPr="00D7646D">
        <w:rPr>
          <w:rFonts w:ascii="Century Gothic" w:eastAsia="Times New Roman" w:hAnsi="Century Gothic"/>
          <w:color w:val="000000" w:themeColor="text1"/>
          <w:lang w:val="es-ES" w:eastAsia="es-ES"/>
        </w:rPr>
        <w:t>Para el cómputo de esta prima en las prestaciones sociales, diferentes a la asignación de retiro o pensión, de que trata el artículo 101 del Decreto- Ley 1213 de 1990 se ajustará el porcentaje a que se tenga derecho, según el tiempo de servicio en el cincuenta por ciento (49.5%).</w:t>
      </w:r>
    </w:p>
    <w:p w:rsidR="00D7646D" w:rsidRPr="00D7646D" w:rsidRDefault="00D7646D" w:rsidP="00D7646D">
      <w:pPr>
        <w:spacing w:before="28" w:after="0"/>
        <w:jc w:val="both"/>
        <w:rPr>
          <w:rFonts w:ascii="Century Gothic" w:eastAsia="Times New Roman" w:hAnsi="Century Gothic"/>
          <w:b/>
          <w:color w:val="000000" w:themeColor="text1"/>
          <w:lang w:val="es-ES" w:eastAsia="es-ES"/>
        </w:rPr>
      </w:pPr>
    </w:p>
    <w:p w:rsidR="00D7646D" w:rsidRPr="00D7646D" w:rsidRDefault="00D7646D" w:rsidP="00D7646D">
      <w:pPr>
        <w:spacing w:before="28" w:after="0"/>
        <w:jc w:val="both"/>
        <w:rPr>
          <w:rFonts w:ascii="Century Gothic" w:eastAsia="Times New Roman" w:hAnsi="Century Gothic"/>
          <w:color w:val="000000" w:themeColor="text1"/>
          <w:lang w:val="es-ES" w:eastAsia="es-ES"/>
        </w:rPr>
      </w:pPr>
      <w:r w:rsidRPr="00D7646D">
        <w:rPr>
          <w:rFonts w:ascii="Century Gothic" w:eastAsia="Times New Roman" w:hAnsi="Century Gothic"/>
          <w:b/>
          <w:color w:val="000000" w:themeColor="text1"/>
          <w:lang w:val="es-ES" w:eastAsia="es-ES"/>
        </w:rPr>
        <w:t xml:space="preserve">Parágrafo. </w:t>
      </w:r>
      <w:r w:rsidRPr="00D7646D">
        <w:rPr>
          <w:rFonts w:ascii="Century Gothic" w:eastAsia="Times New Roman" w:hAnsi="Century Gothic"/>
          <w:color w:val="000000" w:themeColor="text1"/>
          <w:lang w:val="es-ES" w:eastAsia="es-ES"/>
        </w:rPr>
        <w:t xml:space="preserve">Los Agente de la Policía Nacional en servicio activo que a la entrada en vigencia de la presente Ley perciban una prima de actividad superior al porcentaje de qué trata el presente artículo, conservarán su derecho adquirido bajo el principio de favorabilidad. </w:t>
      </w:r>
    </w:p>
    <w:p w:rsidR="00D7646D" w:rsidRDefault="00D7646D" w:rsidP="00D7646D">
      <w:pPr>
        <w:spacing w:before="28" w:after="0"/>
        <w:jc w:val="both"/>
        <w:rPr>
          <w:rFonts w:ascii="Century Gothic" w:hAnsi="Century Gothic"/>
          <w:b/>
          <w:color w:val="000000" w:themeColor="text1"/>
        </w:rPr>
      </w:pPr>
    </w:p>
    <w:p w:rsidR="00A14566" w:rsidRPr="00D7646D" w:rsidRDefault="00A14566" w:rsidP="00D7646D">
      <w:pPr>
        <w:spacing w:before="28" w:after="0"/>
        <w:jc w:val="both"/>
        <w:rPr>
          <w:rFonts w:ascii="Century Gothic" w:hAnsi="Century Gothic"/>
          <w:b/>
          <w:color w:val="000000" w:themeColor="text1"/>
        </w:rPr>
      </w:pPr>
    </w:p>
    <w:p w:rsidR="00D7646D" w:rsidRPr="00D7646D" w:rsidRDefault="00D7646D" w:rsidP="00D7646D">
      <w:pPr>
        <w:spacing w:before="28" w:after="0"/>
        <w:jc w:val="both"/>
        <w:rPr>
          <w:rFonts w:ascii="Century Gothic" w:hAnsi="Century Gothic"/>
          <w:color w:val="000000" w:themeColor="text1"/>
        </w:rPr>
      </w:pPr>
      <w:r w:rsidRPr="00D7646D">
        <w:rPr>
          <w:rFonts w:ascii="Century Gothic" w:hAnsi="Century Gothic"/>
          <w:b/>
          <w:color w:val="000000" w:themeColor="text1"/>
        </w:rPr>
        <w:lastRenderedPageBreak/>
        <w:t>Artículo 3°.</w:t>
      </w:r>
      <w:r w:rsidRPr="00D7646D">
        <w:rPr>
          <w:rFonts w:ascii="Century Gothic" w:hAnsi="Century Gothic"/>
          <w:color w:val="000000" w:themeColor="text1"/>
        </w:rPr>
        <w:t xml:space="preserve"> </w:t>
      </w:r>
      <w:bookmarkStart w:id="9" w:name="110"/>
      <w:r w:rsidRPr="00D7646D">
        <w:rPr>
          <w:rFonts w:ascii="Century Gothic" w:hAnsi="Century Gothic"/>
          <w:color w:val="000000" w:themeColor="text1"/>
        </w:rPr>
        <w:t xml:space="preserve">En virtud del principio de oscilación de asignaciones de retiro y pensiones dispuesto en el artículo 110 del Decreto 1213 de 1990, los Agentes de la Policía Nacional con asignación de retiro reconocida antes del 31 de diciembre de 2018, tendrán derecho a que se les ajuste en el mismo porcentaje en que se haya ajustado el del activo correspondiente, por razón del incremento de que trata el artículo 2° de la presente ley que modifica el artículo 30 del Decreto 1213 de 1990. </w:t>
      </w:r>
    </w:p>
    <w:p w:rsidR="00D7646D" w:rsidRPr="00D7646D" w:rsidRDefault="00D7646D" w:rsidP="00D7646D">
      <w:pPr>
        <w:spacing w:before="28" w:after="0"/>
        <w:jc w:val="both"/>
        <w:rPr>
          <w:rFonts w:ascii="Century Gothic" w:hAnsi="Century Gothic"/>
          <w:color w:val="000000" w:themeColor="text1"/>
        </w:rPr>
      </w:pPr>
    </w:p>
    <w:p w:rsidR="00D7646D" w:rsidRPr="00D7646D" w:rsidRDefault="00D7646D" w:rsidP="00D7646D">
      <w:pPr>
        <w:spacing w:before="28" w:after="0"/>
        <w:jc w:val="both"/>
        <w:rPr>
          <w:rFonts w:ascii="Century Gothic" w:eastAsia="Times New Roman" w:hAnsi="Century Gothic"/>
          <w:color w:val="000000" w:themeColor="text1"/>
          <w:lang w:val="es-ES" w:eastAsia="es-ES"/>
        </w:rPr>
      </w:pPr>
      <w:r w:rsidRPr="00D7646D">
        <w:rPr>
          <w:rFonts w:ascii="Century Gothic" w:hAnsi="Century Gothic"/>
          <w:b/>
          <w:color w:val="000000" w:themeColor="text1"/>
        </w:rPr>
        <w:t>Parágrafo.</w:t>
      </w:r>
      <w:r w:rsidRPr="00D7646D">
        <w:rPr>
          <w:rFonts w:ascii="Century Gothic" w:hAnsi="Century Gothic"/>
          <w:color w:val="000000" w:themeColor="text1"/>
        </w:rPr>
        <w:t xml:space="preserve"> No le será aplicable este artículo al personal que por decisión judicial se hubiere acogido al Régimen General de Pensiones.</w:t>
      </w:r>
    </w:p>
    <w:bookmarkEnd w:id="9"/>
    <w:p w:rsidR="00D7646D" w:rsidRPr="00D7646D" w:rsidRDefault="00D7646D" w:rsidP="00D7646D">
      <w:pPr>
        <w:pStyle w:val="NormalWeb"/>
        <w:spacing w:line="276" w:lineRule="auto"/>
        <w:jc w:val="both"/>
        <w:rPr>
          <w:rFonts w:ascii="Century Gothic" w:hAnsi="Century Gothic" w:cs="Arial"/>
          <w:color w:val="000000" w:themeColor="text1"/>
          <w:sz w:val="22"/>
          <w:szCs w:val="22"/>
        </w:rPr>
      </w:pPr>
      <w:r w:rsidRPr="00D7646D">
        <w:rPr>
          <w:rFonts w:ascii="Century Gothic" w:hAnsi="Century Gothic"/>
          <w:b/>
          <w:color w:val="000000" w:themeColor="text1"/>
          <w:sz w:val="22"/>
          <w:szCs w:val="22"/>
          <w:lang w:val="es-ES" w:eastAsia="es-ES"/>
        </w:rPr>
        <w:t xml:space="preserve">Artículo 4°. </w:t>
      </w:r>
      <w:r w:rsidRPr="00D7646D">
        <w:rPr>
          <w:rFonts w:ascii="Century Gothic" w:hAnsi="Century Gothic"/>
          <w:i/>
          <w:color w:val="000000" w:themeColor="text1"/>
          <w:sz w:val="22"/>
          <w:szCs w:val="22"/>
          <w:lang w:val="es-ES" w:eastAsia="es-ES"/>
        </w:rPr>
        <w:t>Prescripción</w:t>
      </w:r>
      <w:r w:rsidRPr="00D7646D">
        <w:rPr>
          <w:rFonts w:ascii="Century Gothic" w:hAnsi="Century Gothic"/>
          <w:b/>
          <w:color w:val="000000" w:themeColor="text1"/>
          <w:sz w:val="22"/>
          <w:szCs w:val="22"/>
          <w:lang w:val="es-ES" w:eastAsia="es-ES"/>
        </w:rPr>
        <w:t xml:space="preserve">. </w:t>
      </w:r>
      <w:r w:rsidRPr="00D7646D">
        <w:rPr>
          <w:rFonts w:ascii="Century Gothic" w:hAnsi="Century Gothic" w:cs="Arial"/>
          <w:color w:val="000000" w:themeColor="text1"/>
          <w:sz w:val="22"/>
          <w:szCs w:val="22"/>
        </w:rPr>
        <w:t>Los derechos consagrados en la presente ley, prescriben en cuatro (4) años que se contarán desde la fecha en que se hicieren exigibles.</w:t>
      </w:r>
    </w:p>
    <w:p w:rsidR="00D7646D" w:rsidRPr="00D7646D" w:rsidRDefault="00D7646D" w:rsidP="00D7646D">
      <w:pPr>
        <w:spacing w:before="100" w:beforeAutospacing="1" w:after="100" w:afterAutospacing="1"/>
        <w:jc w:val="both"/>
        <w:rPr>
          <w:rFonts w:ascii="Century Gothic" w:eastAsia="Times New Roman" w:hAnsi="Century Gothic" w:cs="Arial"/>
          <w:color w:val="000000" w:themeColor="text1"/>
          <w:lang w:eastAsia="es-CO"/>
        </w:rPr>
      </w:pPr>
      <w:r w:rsidRPr="00D7646D">
        <w:rPr>
          <w:rFonts w:ascii="Century Gothic" w:eastAsia="Times New Roman" w:hAnsi="Century Gothic" w:cs="Arial"/>
          <w:color w:val="000000" w:themeColor="text1"/>
          <w:lang w:eastAsia="es-CO"/>
        </w:rPr>
        <w:t>El reclamo escrito recibido por la autoridad competente sobre un derecho o prestación determinada interrumpe la prescripción, pero sólo por un lapso igual. El derecho al pago de los valores reconocidos prescribe en dos (2) años contados a partir de la ejecutoria del respectivo acto administrativo y pasaría a la Caja de Sueldos de Retiro de la Policía Nacional</w:t>
      </w:r>
    </w:p>
    <w:p w:rsidR="00D7646D" w:rsidRPr="00D7646D" w:rsidRDefault="00D7646D" w:rsidP="00D7646D">
      <w:pPr>
        <w:spacing w:before="28" w:after="0"/>
        <w:jc w:val="both"/>
        <w:rPr>
          <w:rFonts w:ascii="Century Gothic" w:eastAsia="Times New Roman" w:hAnsi="Century Gothic"/>
          <w:b/>
          <w:color w:val="000000" w:themeColor="text1"/>
          <w:lang w:val="es-ES" w:eastAsia="es-ES"/>
        </w:rPr>
      </w:pPr>
      <w:r w:rsidRPr="00D7646D">
        <w:rPr>
          <w:rFonts w:ascii="Century Gothic" w:eastAsia="Times New Roman" w:hAnsi="Century Gothic"/>
          <w:b/>
          <w:color w:val="000000" w:themeColor="text1"/>
          <w:lang w:val="es-ES" w:eastAsia="es-ES"/>
        </w:rPr>
        <w:t xml:space="preserve">Artículo 5°. </w:t>
      </w:r>
      <w:r w:rsidRPr="00D7646D">
        <w:rPr>
          <w:rFonts w:ascii="Century Gothic" w:eastAsia="Times New Roman" w:hAnsi="Century Gothic"/>
          <w:i/>
          <w:color w:val="000000" w:themeColor="text1"/>
          <w:lang w:val="es-ES" w:eastAsia="es-ES"/>
        </w:rPr>
        <w:t>Vigencia</w:t>
      </w:r>
      <w:r w:rsidRPr="00D7646D">
        <w:rPr>
          <w:rFonts w:ascii="Century Gothic" w:eastAsia="Times New Roman" w:hAnsi="Century Gothic"/>
          <w:b/>
          <w:color w:val="000000" w:themeColor="text1"/>
          <w:lang w:val="es-ES" w:eastAsia="es-ES"/>
        </w:rPr>
        <w:t xml:space="preserve">. </w:t>
      </w:r>
      <w:r w:rsidRPr="00D7646D">
        <w:rPr>
          <w:rFonts w:ascii="Century Gothic" w:hAnsi="Century Gothic" w:cs="Arial"/>
          <w:color w:val="000000" w:themeColor="text1"/>
          <w:shd w:val="clear" w:color="auto" w:fill="FFFFFF"/>
        </w:rPr>
        <w:t>La presente ley rige a partir de la fecha de su promulgación y deroga todas las disposiciones que le sean contrarias.</w:t>
      </w:r>
    </w:p>
    <w:p w:rsidR="00D7646D" w:rsidRPr="00D7646D" w:rsidRDefault="00D7646D" w:rsidP="00D7646D">
      <w:pPr>
        <w:spacing w:before="28" w:after="0"/>
        <w:jc w:val="both"/>
        <w:rPr>
          <w:rFonts w:ascii="Century Gothic" w:eastAsia="Times New Roman" w:hAnsi="Century Gothic"/>
          <w:color w:val="000000" w:themeColor="text1"/>
          <w:lang w:val="es-ES" w:eastAsia="es-ES"/>
        </w:rPr>
      </w:pPr>
    </w:p>
    <w:p w:rsidR="00D7646D" w:rsidRPr="00D7646D" w:rsidRDefault="00D7646D" w:rsidP="00D7646D">
      <w:pPr>
        <w:spacing w:after="0"/>
        <w:jc w:val="both"/>
        <w:rPr>
          <w:rFonts w:ascii="Century Gothic" w:eastAsia="Times New Roman" w:hAnsi="Century Gothic"/>
          <w:color w:val="000000" w:themeColor="text1"/>
          <w:lang w:eastAsia="es-ES"/>
        </w:rPr>
      </w:pPr>
      <w:r w:rsidRPr="00D7646D">
        <w:rPr>
          <w:rFonts w:ascii="Century Gothic" w:eastAsia="Times New Roman" w:hAnsi="Century Gothic"/>
          <w:color w:val="000000" w:themeColor="text1"/>
          <w:lang w:eastAsia="es-ES"/>
        </w:rPr>
        <w:t>Presentado por:</w:t>
      </w:r>
    </w:p>
    <w:p w:rsidR="00D7646D" w:rsidRPr="00D7646D" w:rsidRDefault="00D7646D" w:rsidP="00D7646D">
      <w:pPr>
        <w:spacing w:after="0"/>
        <w:jc w:val="both"/>
        <w:rPr>
          <w:rFonts w:ascii="Century Gothic" w:hAnsi="Century Gothic"/>
          <w:b/>
          <w:color w:val="000000" w:themeColor="text1"/>
        </w:rPr>
      </w:pPr>
    </w:p>
    <w:p w:rsidR="00D7646D" w:rsidRPr="00D7646D" w:rsidRDefault="00D7646D" w:rsidP="00D7646D">
      <w:pPr>
        <w:spacing w:after="0"/>
        <w:jc w:val="both"/>
        <w:rPr>
          <w:rFonts w:ascii="Century Gothic" w:hAnsi="Century Gothic"/>
          <w:b/>
          <w:color w:val="000000" w:themeColor="text1"/>
        </w:rPr>
      </w:pPr>
    </w:p>
    <w:p w:rsidR="00D7646D" w:rsidRPr="00D7646D" w:rsidRDefault="00D7646D" w:rsidP="00D7646D">
      <w:pPr>
        <w:spacing w:after="0"/>
        <w:jc w:val="both"/>
        <w:rPr>
          <w:rFonts w:ascii="Century Gothic" w:hAnsi="Century Gothic"/>
          <w:b/>
          <w:color w:val="000000" w:themeColor="text1"/>
        </w:rPr>
      </w:pPr>
    </w:p>
    <w:p w:rsidR="00D7646D" w:rsidRPr="00D7646D" w:rsidRDefault="00D7646D" w:rsidP="00D7646D">
      <w:pPr>
        <w:spacing w:after="0"/>
        <w:jc w:val="both"/>
        <w:rPr>
          <w:rFonts w:ascii="Century Gothic" w:hAnsi="Century Gothic"/>
          <w:b/>
          <w:color w:val="000000" w:themeColor="text1"/>
        </w:rPr>
      </w:pPr>
    </w:p>
    <w:p w:rsidR="00D7646D" w:rsidRPr="00D7646D" w:rsidRDefault="00D7646D" w:rsidP="00D7646D">
      <w:pPr>
        <w:spacing w:after="0"/>
        <w:jc w:val="both"/>
        <w:rPr>
          <w:rFonts w:ascii="Century Gothic" w:hAnsi="Century Gothic"/>
          <w:b/>
          <w:color w:val="000000" w:themeColor="text1"/>
        </w:rPr>
      </w:pPr>
    </w:p>
    <w:p w:rsidR="00D7646D" w:rsidRPr="00D7646D" w:rsidRDefault="00D7646D" w:rsidP="00D7646D">
      <w:pPr>
        <w:spacing w:after="0"/>
        <w:jc w:val="both"/>
        <w:rPr>
          <w:rFonts w:ascii="Century Gothic" w:hAnsi="Century Gothic"/>
          <w:b/>
          <w:color w:val="000000" w:themeColor="text1"/>
        </w:rPr>
      </w:pPr>
      <w:r w:rsidRPr="00D7646D">
        <w:rPr>
          <w:rFonts w:ascii="Century Gothic" w:hAnsi="Century Gothic"/>
          <w:b/>
          <w:color w:val="000000" w:themeColor="text1"/>
        </w:rPr>
        <w:t>ERNESTO MACÍAS TOVAR</w:t>
      </w:r>
    </w:p>
    <w:p w:rsidR="00D7646D" w:rsidRPr="00D7646D" w:rsidRDefault="00D7646D" w:rsidP="00D7646D">
      <w:pPr>
        <w:spacing w:after="0"/>
        <w:jc w:val="both"/>
        <w:rPr>
          <w:rFonts w:ascii="Century Gothic" w:hAnsi="Century Gothic"/>
          <w:b/>
          <w:color w:val="000000" w:themeColor="text1"/>
        </w:rPr>
      </w:pPr>
      <w:r w:rsidRPr="00D7646D">
        <w:rPr>
          <w:rFonts w:ascii="Century Gothic" w:hAnsi="Century Gothic"/>
          <w:b/>
          <w:color w:val="000000" w:themeColor="text1"/>
        </w:rPr>
        <w:t>Senador de la República</w:t>
      </w:r>
    </w:p>
    <w:p w:rsidR="00D7646D" w:rsidRPr="00D7646D" w:rsidRDefault="00D7646D" w:rsidP="006B765D">
      <w:pPr>
        <w:spacing w:line="384" w:lineRule="auto"/>
        <w:rPr>
          <w:rFonts w:ascii="Century Gothic" w:hAnsi="Century Gothic"/>
          <w:b/>
          <w:color w:val="000000" w:themeColor="text1"/>
        </w:rPr>
      </w:pPr>
    </w:p>
    <w:p w:rsidR="00D7646D" w:rsidRDefault="00D7646D" w:rsidP="006B765D">
      <w:pPr>
        <w:spacing w:line="384" w:lineRule="auto"/>
        <w:rPr>
          <w:rFonts w:ascii="Century Gothic" w:hAnsi="Century Gothic"/>
          <w:b/>
          <w:color w:val="000000" w:themeColor="text1"/>
          <w:sz w:val="24"/>
          <w:szCs w:val="24"/>
        </w:rPr>
      </w:pPr>
    </w:p>
    <w:p w:rsidR="00C60315" w:rsidRPr="00046EA5" w:rsidRDefault="00C60315" w:rsidP="00C60315">
      <w:pPr>
        <w:rPr>
          <w:rFonts w:ascii="Century Gothic" w:hAnsi="Century Gothic"/>
          <w:color w:val="000000" w:themeColor="text1"/>
          <w:sz w:val="24"/>
          <w:szCs w:val="24"/>
        </w:rPr>
      </w:pPr>
      <w:bookmarkStart w:id="10" w:name="_GoBack"/>
      <w:bookmarkEnd w:id="10"/>
    </w:p>
    <w:sectPr w:rsidR="00C60315" w:rsidRPr="00046EA5">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C07" w:rsidRDefault="008B0C07" w:rsidP="00A26A4B">
      <w:pPr>
        <w:spacing w:after="0" w:line="240" w:lineRule="auto"/>
      </w:pPr>
      <w:r>
        <w:separator/>
      </w:r>
    </w:p>
  </w:endnote>
  <w:endnote w:type="continuationSeparator" w:id="0">
    <w:p w:rsidR="008B0C07" w:rsidRDefault="008B0C07" w:rsidP="00A26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7D" w:rsidRDefault="009E157D">
    <w:pPr>
      <w:pStyle w:val="Piedepgina"/>
      <w:jc w:val="right"/>
    </w:pPr>
  </w:p>
  <w:p w:rsidR="009E157D" w:rsidRDefault="009E157D">
    <w:pPr>
      <w:pStyle w:val="Piedepgina"/>
      <w:jc w:val="right"/>
    </w:pPr>
  </w:p>
  <w:p w:rsidR="009E157D" w:rsidRDefault="009E157D">
    <w:pPr>
      <w:pStyle w:val="Piedepgina"/>
      <w:jc w:val="right"/>
    </w:pPr>
  </w:p>
  <w:p w:rsidR="009E157D" w:rsidRPr="00C357DB" w:rsidRDefault="009E157D" w:rsidP="00C357DB">
    <w:pPr>
      <w:pStyle w:val="Piedepgina"/>
      <w:jc w:val="center"/>
      <w:rPr>
        <w:rFonts w:ascii="Arial" w:hAnsi="Arial" w:cs="Arial"/>
        <w:b/>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A4B" w:rsidRDefault="00A26A4B" w:rsidP="00A26A4B">
    <w:pPr>
      <w:pStyle w:val="Piedepgina"/>
      <w:jc w:val="center"/>
    </w:pPr>
    <w:r>
      <w:rPr>
        <w:noProof/>
        <w:lang w:eastAsia="es-CO"/>
      </w:rPr>
      <w:drawing>
        <wp:inline distT="0" distB="0" distL="0" distR="0">
          <wp:extent cx="3328035" cy="446405"/>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8035" cy="44640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C07" w:rsidRDefault="008B0C07" w:rsidP="00A26A4B">
      <w:pPr>
        <w:spacing w:after="0" w:line="240" w:lineRule="auto"/>
      </w:pPr>
      <w:r>
        <w:separator/>
      </w:r>
    </w:p>
  </w:footnote>
  <w:footnote w:type="continuationSeparator" w:id="0">
    <w:p w:rsidR="008B0C07" w:rsidRDefault="008B0C07" w:rsidP="00A26A4B">
      <w:pPr>
        <w:spacing w:after="0" w:line="240" w:lineRule="auto"/>
      </w:pPr>
      <w:r>
        <w:continuationSeparator/>
      </w:r>
    </w:p>
  </w:footnote>
  <w:footnote w:id="1">
    <w:p w:rsidR="009E157D" w:rsidRPr="00F41898" w:rsidRDefault="009E157D" w:rsidP="00A40890">
      <w:pPr>
        <w:spacing w:after="0" w:line="240" w:lineRule="auto"/>
        <w:jc w:val="both"/>
        <w:rPr>
          <w:rFonts w:asciiTheme="minorHAnsi" w:hAnsiTheme="minorHAnsi"/>
          <w:color w:val="404040"/>
          <w:sz w:val="20"/>
          <w:szCs w:val="20"/>
          <w:lang w:val="es-ES_tradnl" w:eastAsia="es-ES_tradnl"/>
        </w:rPr>
      </w:pPr>
      <w:r w:rsidRPr="00F41898">
        <w:rPr>
          <w:rStyle w:val="Refdenotaalpie"/>
          <w:rFonts w:asciiTheme="minorHAnsi" w:hAnsiTheme="minorHAnsi"/>
          <w:color w:val="404040"/>
          <w:sz w:val="20"/>
          <w:szCs w:val="20"/>
        </w:rPr>
        <w:footnoteRef/>
      </w:r>
      <w:r w:rsidRPr="00F41898">
        <w:rPr>
          <w:rFonts w:asciiTheme="minorHAnsi" w:hAnsiTheme="minorHAnsi"/>
          <w:color w:val="404040"/>
          <w:sz w:val="20"/>
          <w:szCs w:val="20"/>
        </w:rPr>
        <w:t xml:space="preserve"> </w:t>
      </w:r>
      <w:r w:rsidRPr="00F41898">
        <w:rPr>
          <w:rFonts w:asciiTheme="minorHAnsi" w:hAnsiTheme="minorHAnsi"/>
          <w:color w:val="404040"/>
          <w:sz w:val="20"/>
          <w:szCs w:val="20"/>
          <w:lang w:val="es-ES_tradnl" w:eastAsia="es-ES_tradnl"/>
        </w:rPr>
        <w:t>“ARTÍCULO 99, Decreto 2063 de 1984. COMPUTO DE PRIMA DE ACTIVIDAD. A los Agentes que se retiren o sean retirados del servicio activo a partir de la vigencia del presente decreto, para efectos de asignación de retiro, pensión y demás prestaciones sociales, la prima de actividad se les computará de la siguiente forma:</w:t>
      </w:r>
    </w:p>
    <w:p w:rsidR="009E157D" w:rsidRPr="00F41898" w:rsidRDefault="009E157D" w:rsidP="00A40890">
      <w:pPr>
        <w:spacing w:after="0" w:line="240" w:lineRule="auto"/>
        <w:jc w:val="both"/>
        <w:rPr>
          <w:rFonts w:asciiTheme="minorHAnsi" w:hAnsiTheme="minorHAnsi"/>
          <w:color w:val="404040"/>
          <w:sz w:val="20"/>
          <w:szCs w:val="20"/>
          <w:lang w:val="es-ES_tradnl" w:eastAsia="es-ES_tradnl"/>
        </w:rPr>
      </w:pPr>
      <w:r w:rsidRPr="00F41898">
        <w:rPr>
          <w:rFonts w:asciiTheme="minorHAnsi" w:hAnsiTheme="minorHAnsi"/>
          <w:color w:val="404040"/>
          <w:sz w:val="20"/>
          <w:szCs w:val="20"/>
          <w:lang w:val="es-ES_tradnl" w:eastAsia="es-ES_tradnl"/>
        </w:rPr>
        <w:t>Para Agentes con menos de veinte (20) años de servicio, el quince por ciento (15%) del sueldo básico.</w:t>
      </w:r>
    </w:p>
    <w:p w:rsidR="009E157D" w:rsidRPr="00F41898" w:rsidRDefault="009E157D" w:rsidP="00A40890">
      <w:pPr>
        <w:spacing w:after="0" w:line="240" w:lineRule="auto"/>
        <w:jc w:val="both"/>
        <w:rPr>
          <w:rFonts w:asciiTheme="minorHAnsi" w:hAnsiTheme="minorHAnsi"/>
          <w:color w:val="404040"/>
          <w:sz w:val="20"/>
          <w:szCs w:val="20"/>
          <w:lang w:val="es-ES_tradnl" w:eastAsia="es-ES_tradnl"/>
        </w:rPr>
      </w:pPr>
      <w:r w:rsidRPr="00F41898">
        <w:rPr>
          <w:rFonts w:asciiTheme="minorHAnsi" w:hAnsiTheme="minorHAnsi"/>
          <w:color w:val="404040"/>
          <w:sz w:val="20"/>
          <w:szCs w:val="20"/>
          <w:lang w:val="es-ES_tradnl" w:eastAsia="es-ES_tradnl"/>
        </w:rPr>
        <w:t>Para Agentes entre veinte (20) y veinticinco (25) años de servicios, el veinte por ciento (20%) del sueldo básico.</w:t>
      </w:r>
    </w:p>
    <w:p w:rsidR="009E157D" w:rsidRPr="00F41898" w:rsidRDefault="009E157D" w:rsidP="00A40890">
      <w:pPr>
        <w:spacing w:after="0" w:line="240" w:lineRule="auto"/>
        <w:jc w:val="both"/>
        <w:rPr>
          <w:rFonts w:asciiTheme="minorHAnsi" w:hAnsiTheme="minorHAnsi"/>
          <w:color w:val="404040"/>
          <w:sz w:val="20"/>
          <w:szCs w:val="20"/>
          <w:lang w:val="es-ES_tradnl" w:eastAsia="es-ES_tradnl"/>
        </w:rPr>
      </w:pPr>
      <w:r w:rsidRPr="00F41898">
        <w:rPr>
          <w:rFonts w:asciiTheme="minorHAnsi" w:hAnsiTheme="minorHAnsi"/>
          <w:color w:val="404040"/>
          <w:sz w:val="20"/>
          <w:szCs w:val="20"/>
          <w:lang w:val="es-ES_tradnl" w:eastAsia="es-ES_tradnl"/>
        </w:rPr>
        <w:t>Para Agentes con más de veinticinco (25) años de servicio, el veinticinco por ciento (25%) del sueldo básico.”</w:t>
      </w:r>
    </w:p>
  </w:footnote>
  <w:footnote w:id="2">
    <w:p w:rsidR="009E157D" w:rsidRPr="00F41898" w:rsidRDefault="009E157D" w:rsidP="00F41898">
      <w:pPr>
        <w:spacing w:after="0" w:line="240" w:lineRule="auto"/>
        <w:ind w:right="51"/>
        <w:jc w:val="both"/>
        <w:rPr>
          <w:rFonts w:asciiTheme="minorHAnsi" w:hAnsiTheme="minorHAnsi"/>
          <w:color w:val="404040"/>
          <w:sz w:val="20"/>
          <w:szCs w:val="20"/>
        </w:rPr>
      </w:pPr>
      <w:r w:rsidRPr="00F41898">
        <w:rPr>
          <w:rStyle w:val="Refdenotaalpie"/>
          <w:rFonts w:asciiTheme="minorHAnsi" w:hAnsiTheme="minorHAnsi"/>
          <w:color w:val="404040"/>
          <w:sz w:val="20"/>
          <w:szCs w:val="20"/>
        </w:rPr>
        <w:footnoteRef/>
      </w:r>
      <w:r w:rsidRPr="00F41898">
        <w:rPr>
          <w:rFonts w:asciiTheme="minorHAnsi" w:hAnsiTheme="minorHAnsi"/>
          <w:color w:val="404040"/>
          <w:sz w:val="20"/>
          <w:szCs w:val="20"/>
        </w:rPr>
        <w:t xml:space="preserve"> “ARTÍCULO 179, del Artículo 97. El presente Decreto rige a partir de la fecha de su publicación y deroga el Decreto </w:t>
      </w:r>
      <w:hyperlink r:id="rId1" w:anchor="1" w:tgtFrame="_blank" w:history="1">
        <w:r w:rsidRPr="00F41898">
          <w:rPr>
            <w:rStyle w:val="Hipervnculo"/>
            <w:rFonts w:asciiTheme="minorHAnsi" w:hAnsiTheme="minorHAnsi"/>
            <w:color w:val="404040"/>
            <w:sz w:val="20"/>
            <w:szCs w:val="20"/>
          </w:rPr>
          <w:t>2063</w:t>
        </w:r>
      </w:hyperlink>
      <w:r w:rsidRPr="00F41898">
        <w:rPr>
          <w:rFonts w:asciiTheme="minorHAnsi" w:hAnsiTheme="minorHAnsi"/>
          <w:color w:val="404040"/>
          <w:sz w:val="20"/>
          <w:szCs w:val="20"/>
        </w:rPr>
        <w:t xml:space="preserve"> de 1984 y demás disposiciones que le sean contrarias y surte efectos fiscales a partir del 1o. de enero de 1989, con excepción de las vigencias específicas establecidas en este Decreto”</w:t>
      </w:r>
    </w:p>
  </w:footnote>
  <w:footnote w:id="3">
    <w:p w:rsidR="009E157D" w:rsidRPr="00F41898" w:rsidRDefault="009E157D" w:rsidP="00F41898">
      <w:pPr>
        <w:pStyle w:val="Textonotapie"/>
        <w:jc w:val="both"/>
        <w:rPr>
          <w:rFonts w:asciiTheme="minorHAnsi" w:hAnsiTheme="minorHAnsi"/>
          <w:color w:val="404040"/>
        </w:rPr>
      </w:pPr>
      <w:r w:rsidRPr="00F41898">
        <w:rPr>
          <w:rStyle w:val="Refdenotaalpie"/>
          <w:rFonts w:asciiTheme="minorHAnsi" w:hAnsiTheme="minorHAnsi"/>
          <w:color w:val="404040"/>
        </w:rPr>
        <w:footnoteRef/>
      </w:r>
      <w:r w:rsidRPr="00F41898">
        <w:rPr>
          <w:rFonts w:asciiTheme="minorHAnsi" w:hAnsiTheme="minorHAnsi"/>
          <w:color w:val="404040"/>
        </w:rPr>
        <w:t xml:space="preserve"> Escalas similares se establecieron respecto del personal de oficiales y suboficiales de la Policía Nacional en el Decreto 1211 de 1990 (art. 159)</w:t>
      </w:r>
    </w:p>
  </w:footnote>
  <w:footnote w:id="4">
    <w:p w:rsidR="00885026" w:rsidRPr="00F41898" w:rsidRDefault="00885026" w:rsidP="00F41898">
      <w:pPr>
        <w:pStyle w:val="Textonotapie"/>
        <w:jc w:val="both"/>
        <w:rPr>
          <w:rFonts w:asciiTheme="minorHAnsi" w:hAnsiTheme="minorHAnsi"/>
        </w:rPr>
      </w:pPr>
      <w:r w:rsidRPr="00F41898">
        <w:rPr>
          <w:rStyle w:val="Refdenotaalpie"/>
          <w:rFonts w:asciiTheme="minorHAnsi" w:hAnsiTheme="minorHAnsi"/>
        </w:rPr>
        <w:footnoteRef/>
      </w:r>
      <w:r w:rsidRPr="00F41898">
        <w:rPr>
          <w:rFonts w:asciiTheme="minorHAnsi" w:hAnsiTheme="minorHAnsi"/>
        </w:rPr>
        <w:t xml:space="preserve"> Artículo 2°. Modificar el artículo 32 del Decreto 1515 de 2007 el cual quedará así: Incrementar en un cincuenta por ciento (50%) a partir del 1° de julio de 2007, el porcentaje de la prima de actividad de que tratan los artículos 84 del Decreto-ley 1211 de 1990, 68 del Decreto-ley 1212 de 1990 y 38 del Decreto-ley 1214 de 1990.</w:t>
      </w:r>
    </w:p>
    <w:p w:rsidR="00885026" w:rsidRPr="00F41898" w:rsidRDefault="00885026" w:rsidP="00F41898">
      <w:pPr>
        <w:pStyle w:val="Textonotapie"/>
        <w:jc w:val="both"/>
        <w:rPr>
          <w:rFonts w:asciiTheme="minorHAnsi" w:hAnsiTheme="minorHAnsi"/>
        </w:rPr>
      </w:pPr>
    </w:p>
    <w:p w:rsidR="00885026" w:rsidRPr="00F41898" w:rsidRDefault="00885026" w:rsidP="00F41898">
      <w:pPr>
        <w:pStyle w:val="Textonotapie"/>
        <w:jc w:val="both"/>
        <w:rPr>
          <w:rFonts w:asciiTheme="minorHAnsi" w:hAnsiTheme="minorHAnsi"/>
        </w:rPr>
      </w:pPr>
      <w:r w:rsidRPr="00F41898">
        <w:rPr>
          <w:rFonts w:asciiTheme="minorHAnsi" w:hAnsiTheme="minorHAnsi"/>
        </w:rPr>
        <w:t>Para el cómputo de esta prima en las prestaciones sociales, diferentes a la asignación de retiro o pensión, de que tratan los artículos 159 del Decreto-ley 1211 de 1990 y 141 del Decreto-ley 1212 de 1990, se ajustará el porcentaje a que se tenga derecho según el tiempo de servicio en el cincuenta por ciento (50%).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7D" w:rsidRDefault="00762A6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2049" type="#_x0000_t75" style="position:absolute;margin-left:-85.9pt;margin-top:-35.45pt;width:612.75pt;height:821.1pt;z-index:-251658752;visibility:visible">
          <v:imagedata r:id="rId1" o:title=""/>
        </v:shape>
      </w:pict>
    </w:r>
  </w:p>
  <w:p w:rsidR="009E157D" w:rsidRDefault="009E157D">
    <w:pPr>
      <w:pStyle w:val="Encabezado"/>
    </w:pPr>
  </w:p>
  <w:p w:rsidR="009E157D" w:rsidRDefault="009E157D">
    <w:pPr>
      <w:pStyle w:val="Encabezado"/>
    </w:pPr>
  </w:p>
  <w:p w:rsidR="009E157D" w:rsidRDefault="009E157D">
    <w:pPr>
      <w:pStyle w:val="Encabezado"/>
    </w:pPr>
  </w:p>
  <w:p w:rsidR="009E157D" w:rsidRDefault="009E157D" w:rsidP="00C357DB">
    <w:pPr>
      <w:pStyle w:val="Encabezado"/>
      <w:jc w:val="center"/>
      <w:rPr>
        <w:rFonts w:ascii="Arial" w:hAnsi="Arial" w:cs="Arial"/>
        <w:b/>
        <w:sz w:val="20"/>
      </w:rPr>
    </w:pPr>
  </w:p>
  <w:p w:rsidR="00046EA5" w:rsidRPr="00A26A4B" w:rsidRDefault="00046EA5" w:rsidP="00046EA5">
    <w:pPr>
      <w:pStyle w:val="Encabezado"/>
      <w:jc w:val="center"/>
      <w:rPr>
        <w:rFonts w:ascii="Monotype Corsiva" w:hAnsi="Monotype Corsiva"/>
        <w:sz w:val="24"/>
      </w:rPr>
    </w:pPr>
    <w:r w:rsidRPr="00A26A4B">
      <w:rPr>
        <w:rFonts w:ascii="Monotype Corsiva" w:hAnsi="Monotype Corsiva"/>
        <w:sz w:val="24"/>
      </w:rPr>
      <w:t xml:space="preserve">Ernesto Macías Tovar </w:t>
    </w:r>
  </w:p>
  <w:p w:rsidR="00046EA5" w:rsidRPr="00A26A4B" w:rsidRDefault="00046EA5" w:rsidP="00046EA5">
    <w:pPr>
      <w:pStyle w:val="Encabezado"/>
      <w:jc w:val="center"/>
      <w:rPr>
        <w:rFonts w:ascii="Monotype Corsiva" w:hAnsi="Monotype Corsiva"/>
        <w:sz w:val="24"/>
      </w:rPr>
    </w:pPr>
    <w:r w:rsidRPr="00A26A4B">
      <w:rPr>
        <w:rFonts w:ascii="Monotype Corsiva" w:hAnsi="Monotype Corsiva"/>
        <w:sz w:val="24"/>
      </w:rPr>
      <w:t xml:space="preserve">Senador de la República </w:t>
    </w:r>
  </w:p>
  <w:p w:rsidR="009E157D" w:rsidRPr="00F66F38" w:rsidRDefault="009E157D" w:rsidP="00C357DB">
    <w:pPr>
      <w:pStyle w:val="Encabezado"/>
      <w:jc w:val="center"/>
      <w:rPr>
        <w:rFonts w:ascii="Arial" w:hAnsi="Arial" w:cs="Arial"/>
        <w:b/>
        <w:color w:val="595959"/>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A4B" w:rsidRDefault="00A26A4B" w:rsidP="00A26A4B">
    <w:pPr>
      <w:pStyle w:val="Encabezado"/>
      <w:jc w:val="center"/>
    </w:pPr>
    <w:r>
      <w:rPr>
        <w:noProof/>
        <w:lang w:eastAsia="es-CO"/>
      </w:rPr>
      <w:drawing>
        <wp:inline distT="0" distB="0" distL="0" distR="0">
          <wp:extent cx="2456180" cy="84010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6180" cy="840105"/>
                  </a:xfrm>
                  <a:prstGeom prst="rect">
                    <a:avLst/>
                  </a:prstGeom>
                  <a:noFill/>
                  <a:ln>
                    <a:noFill/>
                  </a:ln>
                </pic:spPr>
              </pic:pic>
            </a:graphicData>
          </a:graphic>
        </wp:inline>
      </w:drawing>
    </w:r>
  </w:p>
  <w:p w:rsidR="00A26A4B" w:rsidRPr="00A26A4B" w:rsidRDefault="00A26A4B" w:rsidP="00A26A4B">
    <w:pPr>
      <w:pStyle w:val="Encabezado"/>
      <w:jc w:val="center"/>
      <w:rPr>
        <w:rFonts w:ascii="Monotype Corsiva" w:hAnsi="Monotype Corsiva"/>
        <w:sz w:val="24"/>
      </w:rPr>
    </w:pPr>
    <w:r w:rsidRPr="00A26A4B">
      <w:rPr>
        <w:rFonts w:ascii="Monotype Corsiva" w:hAnsi="Monotype Corsiva"/>
        <w:sz w:val="24"/>
      </w:rPr>
      <w:t xml:space="preserve">Ernesto Macías Tovar </w:t>
    </w:r>
  </w:p>
  <w:p w:rsidR="00A26A4B" w:rsidRDefault="00A26A4B" w:rsidP="00A26A4B">
    <w:pPr>
      <w:pStyle w:val="Encabezado"/>
      <w:jc w:val="center"/>
      <w:rPr>
        <w:rFonts w:ascii="Monotype Corsiva" w:hAnsi="Monotype Corsiva"/>
        <w:sz w:val="24"/>
      </w:rPr>
    </w:pPr>
    <w:r w:rsidRPr="00A26A4B">
      <w:rPr>
        <w:rFonts w:ascii="Monotype Corsiva" w:hAnsi="Monotype Corsiva"/>
        <w:sz w:val="24"/>
      </w:rPr>
      <w:t xml:space="preserve">Senador de la República </w:t>
    </w:r>
  </w:p>
  <w:p w:rsidR="009A020D" w:rsidRPr="00A26A4B" w:rsidRDefault="009A020D" w:rsidP="00A26A4B">
    <w:pPr>
      <w:pStyle w:val="Encabezado"/>
      <w:jc w:val="center"/>
      <w:rPr>
        <w:rFonts w:ascii="Monotype Corsiva" w:hAnsi="Monotype Corsiv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B0690"/>
    <w:multiLevelType w:val="hybridMultilevel"/>
    <w:tmpl w:val="6D6C57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2B17467"/>
    <w:multiLevelType w:val="hybridMultilevel"/>
    <w:tmpl w:val="927048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C0C727C"/>
    <w:multiLevelType w:val="multilevel"/>
    <w:tmpl w:val="8A10F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D9335B"/>
    <w:multiLevelType w:val="hybridMultilevel"/>
    <w:tmpl w:val="369A41A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2"/>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A4B"/>
    <w:rsid w:val="0003644B"/>
    <w:rsid w:val="00046EA5"/>
    <w:rsid w:val="00061EE6"/>
    <w:rsid w:val="00063CFD"/>
    <w:rsid w:val="0009284E"/>
    <w:rsid w:val="00092C74"/>
    <w:rsid w:val="000C71F4"/>
    <w:rsid w:val="00135304"/>
    <w:rsid w:val="00182601"/>
    <w:rsid w:val="00183862"/>
    <w:rsid w:val="002367E4"/>
    <w:rsid w:val="0025022E"/>
    <w:rsid w:val="002C6CE0"/>
    <w:rsid w:val="002F0283"/>
    <w:rsid w:val="003B34FB"/>
    <w:rsid w:val="00432CCB"/>
    <w:rsid w:val="00450DBB"/>
    <w:rsid w:val="004574C5"/>
    <w:rsid w:val="004C5DBD"/>
    <w:rsid w:val="005E466F"/>
    <w:rsid w:val="00612A0B"/>
    <w:rsid w:val="00673945"/>
    <w:rsid w:val="006A2E58"/>
    <w:rsid w:val="006B765D"/>
    <w:rsid w:val="006C049C"/>
    <w:rsid w:val="00725A98"/>
    <w:rsid w:val="007A444C"/>
    <w:rsid w:val="007A4DB8"/>
    <w:rsid w:val="007A6C04"/>
    <w:rsid w:val="007D4076"/>
    <w:rsid w:val="007F76FE"/>
    <w:rsid w:val="00885026"/>
    <w:rsid w:val="008B0C07"/>
    <w:rsid w:val="008C5E32"/>
    <w:rsid w:val="00932903"/>
    <w:rsid w:val="009A020D"/>
    <w:rsid w:val="009D334A"/>
    <w:rsid w:val="009E157D"/>
    <w:rsid w:val="00A0568C"/>
    <w:rsid w:val="00A14566"/>
    <w:rsid w:val="00A16470"/>
    <w:rsid w:val="00A26A4B"/>
    <w:rsid w:val="00A40890"/>
    <w:rsid w:val="00B65E32"/>
    <w:rsid w:val="00B87084"/>
    <w:rsid w:val="00C34B4C"/>
    <w:rsid w:val="00C60315"/>
    <w:rsid w:val="00C67BFC"/>
    <w:rsid w:val="00CB4B4D"/>
    <w:rsid w:val="00CC6CAD"/>
    <w:rsid w:val="00D210DF"/>
    <w:rsid w:val="00D7646D"/>
    <w:rsid w:val="00D86E29"/>
    <w:rsid w:val="00DF2249"/>
    <w:rsid w:val="00E418FC"/>
    <w:rsid w:val="00F14690"/>
    <w:rsid w:val="00F41898"/>
    <w:rsid w:val="00F43584"/>
    <w:rsid w:val="00F62B31"/>
    <w:rsid w:val="00F8397C"/>
    <w:rsid w:val="00FC22CF"/>
    <w:rsid w:val="00FD7EFB"/>
    <w:rsid w:val="00FF60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A4B"/>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6A4B"/>
    <w:pPr>
      <w:spacing w:before="100" w:beforeAutospacing="1" w:after="100" w:afterAutospacing="1" w:line="240" w:lineRule="auto"/>
    </w:pPr>
    <w:rPr>
      <w:rFonts w:ascii="Times New Roman" w:eastAsia="Times New Roman" w:hAnsi="Times New Roman"/>
      <w:sz w:val="24"/>
      <w:szCs w:val="24"/>
      <w:lang w:eastAsia="es-CO"/>
    </w:rPr>
  </w:style>
  <w:style w:type="paragraph" w:styleId="Encabezado">
    <w:name w:val="header"/>
    <w:basedOn w:val="Normal"/>
    <w:link w:val="EncabezadoCar"/>
    <w:uiPriority w:val="99"/>
    <w:unhideWhenUsed/>
    <w:rsid w:val="00A26A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6A4B"/>
    <w:rPr>
      <w:rFonts w:ascii="Calibri" w:eastAsia="Calibri" w:hAnsi="Calibri" w:cs="Times New Roman"/>
    </w:rPr>
  </w:style>
  <w:style w:type="paragraph" w:styleId="Piedepgina">
    <w:name w:val="footer"/>
    <w:basedOn w:val="Normal"/>
    <w:link w:val="PiedepginaCar"/>
    <w:uiPriority w:val="99"/>
    <w:unhideWhenUsed/>
    <w:rsid w:val="00A26A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6A4B"/>
    <w:rPr>
      <w:rFonts w:ascii="Calibri" w:eastAsia="Calibri" w:hAnsi="Calibri" w:cs="Times New Roman"/>
    </w:rPr>
  </w:style>
  <w:style w:type="character" w:styleId="Hipervnculo">
    <w:name w:val="Hyperlink"/>
    <w:uiPriority w:val="99"/>
    <w:unhideWhenUsed/>
    <w:rsid w:val="009E157D"/>
    <w:rPr>
      <w:color w:val="0000FF"/>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texto de nota al p"/>
    <w:basedOn w:val="Normal"/>
    <w:link w:val="TextonotapieCar"/>
    <w:rsid w:val="009E157D"/>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rsid w:val="009E157D"/>
    <w:rPr>
      <w:rFonts w:ascii="Calibri" w:eastAsia="Calibri" w:hAnsi="Calibri" w:cs="Times New Roman"/>
      <w:sz w:val="20"/>
      <w:szCs w:val="20"/>
    </w:rPr>
  </w:style>
  <w:style w:type="character" w:styleId="Refdenotaalpie">
    <w:name w:val="footnote reference"/>
    <w:aliases w:val="Ref. de nota al pie 2,referencia nota al pie,Nota de pie,Texto nota al pie,Appel note de bas de page,Texto de nota al pie,Pie de Página,FC,Texto de nota al pi,Footnotes refss,Footnote number,BVI fnr,f,4_G,16 Point,Superscript 6 Point"/>
    <w:uiPriority w:val="99"/>
    <w:rsid w:val="009E157D"/>
    <w:rPr>
      <w:rFonts w:cs="Times New Roman"/>
      <w:vertAlign w:val="superscript"/>
    </w:rPr>
  </w:style>
  <w:style w:type="paragraph" w:styleId="Textoindependiente">
    <w:name w:val="Body Text"/>
    <w:basedOn w:val="Normal"/>
    <w:link w:val="TextoindependienteCar"/>
    <w:uiPriority w:val="99"/>
    <w:semiHidden/>
    <w:rsid w:val="009E157D"/>
    <w:pPr>
      <w:spacing w:after="0" w:line="240" w:lineRule="auto"/>
      <w:jc w:val="both"/>
    </w:pPr>
    <w:rPr>
      <w:rFonts w:ascii="Courier New" w:eastAsia="Times New Roman" w:hAnsi="Courier New"/>
      <w:sz w:val="24"/>
      <w:szCs w:val="20"/>
      <w:lang w:val="es-ES_tradnl" w:eastAsia="es-ES"/>
    </w:rPr>
  </w:style>
  <w:style w:type="character" w:customStyle="1" w:styleId="TextoindependienteCar">
    <w:name w:val="Texto independiente Car"/>
    <w:basedOn w:val="Fuentedeprrafopredeter"/>
    <w:link w:val="Textoindependiente"/>
    <w:uiPriority w:val="99"/>
    <w:semiHidden/>
    <w:rsid w:val="009E157D"/>
    <w:rPr>
      <w:rFonts w:ascii="Courier New" w:eastAsia="Times New Roman" w:hAnsi="Courier New" w:cs="Times New Roman"/>
      <w:sz w:val="24"/>
      <w:szCs w:val="20"/>
      <w:lang w:val="es-ES_tradnl" w:eastAsia="es-ES"/>
    </w:rPr>
  </w:style>
  <w:style w:type="character" w:styleId="Textoennegrita">
    <w:name w:val="Strong"/>
    <w:basedOn w:val="Fuentedeprrafopredeter"/>
    <w:uiPriority w:val="22"/>
    <w:qFormat/>
    <w:rsid w:val="00092C74"/>
    <w:rPr>
      <w:b/>
      <w:bCs/>
    </w:rPr>
  </w:style>
  <w:style w:type="character" w:styleId="nfasis">
    <w:name w:val="Emphasis"/>
    <w:basedOn w:val="Fuentedeprrafopredeter"/>
    <w:uiPriority w:val="20"/>
    <w:qFormat/>
    <w:rsid w:val="00092C74"/>
    <w:rPr>
      <w:i/>
      <w:iCs/>
    </w:rPr>
  </w:style>
  <w:style w:type="character" w:customStyle="1" w:styleId="apple-converted-space">
    <w:name w:val="apple-converted-space"/>
    <w:rsid w:val="000C71F4"/>
  </w:style>
  <w:style w:type="paragraph" w:customStyle="1" w:styleId="centrado">
    <w:name w:val="centrado"/>
    <w:basedOn w:val="Normal"/>
    <w:rsid w:val="000C71F4"/>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baj">
    <w:name w:val="b_aj"/>
    <w:rsid w:val="000C71F4"/>
  </w:style>
  <w:style w:type="paragraph" w:customStyle="1" w:styleId="Body1">
    <w:name w:val="Body 1"/>
    <w:rsid w:val="007F76FE"/>
    <w:pPr>
      <w:spacing w:after="0" w:line="240" w:lineRule="auto"/>
      <w:outlineLvl w:val="0"/>
    </w:pPr>
    <w:rPr>
      <w:rFonts w:ascii="Times New Roman" w:eastAsia="Arial Unicode MS" w:hAnsi="Times New Roman" w:cs="Times New Roman"/>
      <w:color w:val="000000"/>
      <w:sz w:val="24"/>
      <w:szCs w:val="20"/>
      <w:u w:color="000000"/>
      <w:lang w:val="es-ES" w:eastAsia="es-ES"/>
    </w:rPr>
  </w:style>
  <w:style w:type="paragraph" w:styleId="Textodeglobo">
    <w:name w:val="Balloon Text"/>
    <w:basedOn w:val="Normal"/>
    <w:link w:val="TextodegloboCar"/>
    <w:uiPriority w:val="99"/>
    <w:semiHidden/>
    <w:unhideWhenUsed/>
    <w:rsid w:val="00D764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646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A4B"/>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6A4B"/>
    <w:pPr>
      <w:spacing w:before="100" w:beforeAutospacing="1" w:after="100" w:afterAutospacing="1" w:line="240" w:lineRule="auto"/>
    </w:pPr>
    <w:rPr>
      <w:rFonts w:ascii="Times New Roman" w:eastAsia="Times New Roman" w:hAnsi="Times New Roman"/>
      <w:sz w:val="24"/>
      <w:szCs w:val="24"/>
      <w:lang w:eastAsia="es-CO"/>
    </w:rPr>
  </w:style>
  <w:style w:type="paragraph" w:styleId="Encabezado">
    <w:name w:val="header"/>
    <w:basedOn w:val="Normal"/>
    <w:link w:val="EncabezadoCar"/>
    <w:uiPriority w:val="99"/>
    <w:unhideWhenUsed/>
    <w:rsid w:val="00A26A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6A4B"/>
    <w:rPr>
      <w:rFonts w:ascii="Calibri" w:eastAsia="Calibri" w:hAnsi="Calibri" w:cs="Times New Roman"/>
    </w:rPr>
  </w:style>
  <w:style w:type="paragraph" w:styleId="Piedepgina">
    <w:name w:val="footer"/>
    <w:basedOn w:val="Normal"/>
    <w:link w:val="PiedepginaCar"/>
    <w:uiPriority w:val="99"/>
    <w:unhideWhenUsed/>
    <w:rsid w:val="00A26A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6A4B"/>
    <w:rPr>
      <w:rFonts w:ascii="Calibri" w:eastAsia="Calibri" w:hAnsi="Calibri" w:cs="Times New Roman"/>
    </w:rPr>
  </w:style>
  <w:style w:type="character" w:styleId="Hipervnculo">
    <w:name w:val="Hyperlink"/>
    <w:uiPriority w:val="99"/>
    <w:unhideWhenUsed/>
    <w:rsid w:val="009E157D"/>
    <w:rPr>
      <w:color w:val="0000FF"/>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texto de nota al p"/>
    <w:basedOn w:val="Normal"/>
    <w:link w:val="TextonotapieCar"/>
    <w:rsid w:val="009E157D"/>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rsid w:val="009E157D"/>
    <w:rPr>
      <w:rFonts w:ascii="Calibri" w:eastAsia="Calibri" w:hAnsi="Calibri" w:cs="Times New Roman"/>
      <w:sz w:val="20"/>
      <w:szCs w:val="20"/>
    </w:rPr>
  </w:style>
  <w:style w:type="character" w:styleId="Refdenotaalpie">
    <w:name w:val="footnote reference"/>
    <w:aliases w:val="Ref. de nota al pie 2,referencia nota al pie,Nota de pie,Texto nota al pie,Appel note de bas de page,Texto de nota al pie,Pie de Página,FC,Texto de nota al pi,Footnotes refss,Footnote number,BVI fnr,f,4_G,16 Point,Superscript 6 Point"/>
    <w:uiPriority w:val="99"/>
    <w:rsid w:val="009E157D"/>
    <w:rPr>
      <w:rFonts w:cs="Times New Roman"/>
      <w:vertAlign w:val="superscript"/>
    </w:rPr>
  </w:style>
  <w:style w:type="paragraph" w:styleId="Textoindependiente">
    <w:name w:val="Body Text"/>
    <w:basedOn w:val="Normal"/>
    <w:link w:val="TextoindependienteCar"/>
    <w:uiPriority w:val="99"/>
    <w:semiHidden/>
    <w:rsid w:val="009E157D"/>
    <w:pPr>
      <w:spacing w:after="0" w:line="240" w:lineRule="auto"/>
      <w:jc w:val="both"/>
    </w:pPr>
    <w:rPr>
      <w:rFonts w:ascii="Courier New" w:eastAsia="Times New Roman" w:hAnsi="Courier New"/>
      <w:sz w:val="24"/>
      <w:szCs w:val="20"/>
      <w:lang w:val="es-ES_tradnl" w:eastAsia="es-ES"/>
    </w:rPr>
  </w:style>
  <w:style w:type="character" w:customStyle="1" w:styleId="TextoindependienteCar">
    <w:name w:val="Texto independiente Car"/>
    <w:basedOn w:val="Fuentedeprrafopredeter"/>
    <w:link w:val="Textoindependiente"/>
    <w:uiPriority w:val="99"/>
    <w:semiHidden/>
    <w:rsid w:val="009E157D"/>
    <w:rPr>
      <w:rFonts w:ascii="Courier New" w:eastAsia="Times New Roman" w:hAnsi="Courier New" w:cs="Times New Roman"/>
      <w:sz w:val="24"/>
      <w:szCs w:val="20"/>
      <w:lang w:val="es-ES_tradnl" w:eastAsia="es-ES"/>
    </w:rPr>
  </w:style>
  <w:style w:type="character" w:styleId="Textoennegrita">
    <w:name w:val="Strong"/>
    <w:basedOn w:val="Fuentedeprrafopredeter"/>
    <w:uiPriority w:val="22"/>
    <w:qFormat/>
    <w:rsid w:val="00092C74"/>
    <w:rPr>
      <w:b/>
      <w:bCs/>
    </w:rPr>
  </w:style>
  <w:style w:type="character" w:styleId="nfasis">
    <w:name w:val="Emphasis"/>
    <w:basedOn w:val="Fuentedeprrafopredeter"/>
    <w:uiPriority w:val="20"/>
    <w:qFormat/>
    <w:rsid w:val="00092C74"/>
    <w:rPr>
      <w:i/>
      <w:iCs/>
    </w:rPr>
  </w:style>
  <w:style w:type="character" w:customStyle="1" w:styleId="apple-converted-space">
    <w:name w:val="apple-converted-space"/>
    <w:rsid w:val="000C71F4"/>
  </w:style>
  <w:style w:type="paragraph" w:customStyle="1" w:styleId="centrado">
    <w:name w:val="centrado"/>
    <w:basedOn w:val="Normal"/>
    <w:rsid w:val="000C71F4"/>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baj">
    <w:name w:val="b_aj"/>
    <w:rsid w:val="000C71F4"/>
  </w:style>
  <w:style w:type="paragraph" w:customStyle="1" w:styleId="Body1">
    <w:name w:val="Body 1"/>
    <w:rsid w:val="007F76FE"/>
    <w:pPr>
      <w:spacing w:after="0" w:line="240" w:lineRule="auto"/>
      <w:outlineLvl w:val="0"/>
    </w:pPr>
    <w:rPr>
      <w:rFonts w:ascii="Times New Roman" w:eastAsia="Arial Unicode MS" w:hAnsi="Times New Roman" w:cs="Times New Roman"/>
      <w:color w:val="000000"/>
      <w:sz w:val="24"/>
      <w:szCs w:val="20"/>
      <w:u w:color="000000"/>
      <w:lang w:val="es-ES" w:eastAsia="es-ES"/>
    </w:rPr>
  </w:style>
  <w:style w:type="paragraph" w:styleId="Textodeglobo">
    <w:name w:val="Balloon Text"/>
    <w:basedOn w:val="Normal"/>
    <w:link w:val="TextodegloboCar"/>
    <w:uiPriority w:val="99"/>
    <w:semiHidden/>
    <w:unhideWhenUsed/>
    <w:rsid w:val="00D764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646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799506">
      <w:bodyDiv w:val="1"/>
      <w:marLeft w:val="0"/>
      <w:marRight w:val="0"/>
      <w:marTop w:val="0"/>
      <w:marBottom w:val="0"/>
      <w:divBdr>
        <w:top w:val="none" w:sz="0" w:space="0" w:color="auto"/>
        <w:left w:val="none" w:sz="0" w:space="0" w:color="auto"/>
        <w:bottom w:val="none" w:sz="0" w:space="0" w:color="auto"/>
        <w:right w:val="none" w:sz="0" w:space="0" w:color="auto"/>
      </w:divBdr>
    </w:div>
    <w:div w:id="909653626">
      <w:bodyDiv w:val="1"/>
      <w:marLeft w:val="0"/>
      <w:marRight w:val="0"/>
      <w:marTop w:val="0"/>
      <w:marBottom w:val="0"/>
      <w:divBdr>
        <w:top w:val="none" w:sz="0" w:space="0" w:color="auto"/>
        <w:left w:val="none" w:sz="0" w:space="0" w:color="auto"/>
        <w:bottom w:val="none" w:sz="0" w:space="0" w:color="auto"/>
        <w:right w:val="none" w:sz="0" w:space="0" w:color="auto"/>
      </w:divBdr>
    </w:div>
    <w:div w:id="1899782682">
      <w:bodyDiv w:val="1"/>
      <w:marLeft w:val="0"/>
      <w:marRight w:val="0"/>
      <w:marTop w:val="0"/>
      <w:marBottom w:val="0"/>
      <w:divBdr>
        <w:top w:val="none" w:sz="0" w:space="0" w:color="auto"/>
        <w:left w:val="none" w:sz="0" w:space="0" w:color="auto"/>
        <w:bottom w:val="none" w:sz="0" w:space="0" w:color="auto"/>
        <w:right w:val="none" w:sz="0" w:space="0" w:color="auto"/>
      </w:divBdr>
      <w:divsChild>
        <w:div w:id="3242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cbf.gov.co/cargues/avance/docs/decreto_1214_1990_pr001.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icbf.gov.co/cargues/avance/docs/decreto_1212_1990_pr00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cbf.gov.co/cargues/avance/docs/decreto_1211_1990_pr001.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ftp://ftp.camara.gov.co/camara/basedoc/decreto/1984/decreto_2063_1984.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8CFEB-A9C9-4F2C-89EA-6376DDC67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4083</Words>
  <Characters>22462</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senado</cp:lastModifiedBy>
  <cp:revision>2</cp:revision>
  <cp:lastPrinted>2019-03-27T18:57:00Z</cp:lastPrinted>
  <dcterms:created xsi:type="dcterms:W3CDTF">2019-03-27T19:00:00Z</dcterms:created>
  <dcterms:modified xsi:type="dcterms:W3CDTF">2019-03-27T19:00:00Z</dcterms:modified>
</cp:coreProperties>
</file>